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7F7F7"/>
        <w:ind w:left="0" w:firstLine="0"/>
        <w:rPr>
          <w:rFonts w:ascii="微软雅黑" w:hAnsi="微软雅黑" w:eastAsia="微软雅黑" w:cs="微软雅黑"/>
          <w:b w:val="0"/>
          <w:i w:val="0"/>
          <w:caps w:val="0"/>
          <w:color w:val="333333"/>
          <w:spacing w:val="0"/>
          <w:sz w:val="18"/>
          <w:szCs w:val="18"/>
        </w:rPr>
      </w:pPr>
      <w:bookmarkStart w:id="0" w:name="_GoBack"/>
      <w:r>
        <w:rPr>
          <w:rFonts w:hint="eastAsia" w:ascii="微软雅黑" w:hAnsi="微软雅黑" w:eastAsia="微软雅黑" w:cs="微软雅黑"/>
          <w:b w:val="0"/>
          <w:i w:val="0"/>
          <w:caps w:val="0"/>
          <w:color w:val="333333"/>
          <w:spacing w:val="0"/>
          <w:sz w:val="18"/>
          <w:szCs w:val="18"/>
          <w:shd w:val="clear" w:fill="F7F7F7"/>
        </w:rPr>
        <w:t>一、复试录取工作领导小组</w:t>
      </w:r>
    </w:p>
    <w:bookmarkEnd w:id="0"/>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组长：</w:t>
      </w:r>
      <w:r>
        <w:rPr>
          <w:rFonts w:hint="eastAsia" w:ascii="微软雅黑" w:hAnsi="微软雅黑" w:eastAsia="微软雅黑" w:cs="微软雅黑"/>
          <w:b w:val="0"/>
          <w:i w:val="0"/>
          <w:caps w:val="0"/>
          <w:color w:val="333333"/>
          <w:spacing w:val="0"/>
          <w:sz w:val="28"/>
          <w:szCs w:val="28"/>
          <w:shd w:val="clear" w:fill="F7F7F7"/>
        </w:rPr>
        <w:t>汪浩</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副组长：</w:t>
      </w:r>
      <w:r>
        <w:rPr>
          <w:rFonts w:hint="eastAsia" w:ascii="微软雅黑" w:hAnsi="微软雅黑" w:eastAsia="微软雅黑" w:cs="微软雅黑"/>
          <w:b w:val="0"/>
          <w:i w:val="0"/>
          <w:caps w:val="0"/>
          <w:color w:val="333333"/>
          <w:spacing w:val="0"/>
          <w:sz w:val="28"/>
          <w:szCs w:val="28"/>
          <w:shd w:val="clear" w:fill="F7F7F7"/>
        </w:rPr>
        <w:t>张汉龙</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成员：</w:t>
      </w:r>
      <w:r>
        <w:rPr>
          <w:rFonts w:hint="eastAsia" w:ascii="微软雅黑" w:hAnsi="微软雅黑" w:eastAsia="微软雅黑" w:cs="微软雅黑"/>
          <w:b w:val="0"/>
          <w:i w:val="0"/>
          <w:caps w:val="0"/>
          <w:color w:val="333333"/>
          <w:spacing w:val="0"/>
          <w:sz w:val="28"/>
          <w:szCs w:val="28"/>
          <w:shd w:val="clear" w:fill="F7F7F7"/>
        </w:rPr>
        <w:t>叶小兰、蒋长根、黄明和、李莹</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纪检委员：黄志刚</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二、各专业（方向）招生计划、复试分数线</w:t>
      </w:r>
    </w:p>
    <w:tbl>
      <w:tblPr>
        <w:tblW w:w="9030"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15"/>
        <w:gridCol w:w="1695"/>
        <w:gridCol w:w="1140"/>
        <w:gridCol w:w="945"/>
        <w:gridCol w:w="1335"/>
        <w:gridCol w:w="2700"/>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专业代码</w:t>
            </w:r>
          </w:p>
        </w:tc>
        <w:tc>
          <w:tcPr>
            <w:tcW w:w="169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专业名称</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复试</w:t>
            </w:r>
          </w:p>
          <w:p>
            <w:pPr>
              <w:pStyle w:val="3"/>
              <w:keepNext w:val="0"/>
              <w:keepLines w:val="0"/>
              <w:widowControl/>
              <w:suppressLineNumbers w:val="0"/>
              <w:rPr>
                <w:sz w:val="18"/>
                <w:szCs w:val="18"/>
              </w:rPr>
            </w:pPr>
            <w:r>
              <w:rPr>
                <w:sz w:val="18"/>
                <w:szCs w:val="18"/>
              </w:rPr>
              <w:t>分数线</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学习</w:t>
            </w:r>
          </w:p>
          <w:p>
            <w:pPr>
              <w:pStyle w:val="3"/>
              <w:keepNext w:val="0"/>
              <w:keepLines w:val="0"/>
              <w:widowControl/>
              <w:suppressLineNumbers w:val="0"/>
              <w:rPr>
                <w:sz w:val="18"/>
                <w:szCs w:val="18"/>
              </w:rPr>
            </w:pPr>
            <w:r>
              <w:rPr>
                <w:sz w:val="18"/>
                <w:szCs w:val="18"/>
              </w:rPr>
              <w:t>方式</w:t>
            </w:r>
          </w:p>
        </w:tc>
        <w:tc>
          <w:tcPr>
            <w:tcW w:w="133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拟招收</w:t>
            </w:r>
          </w:p>
          <w:p>
            <w:pPr>
              <w:pStyle w:val="3"/>
              <w:keepNext w:val="0"/>
              <w:keepLines w:val="0"/>
              <w:widowControl/>
              <w:suppressLineNumbers w:val="0"/>
              <w:rPr>
                <w:sz w:val="18"/>
                <w:szCs w:val="18"/>
              </w:rPr>
            </w:pPr>
            <w:r>
              <w:rPr>
                <w:sz w:val="18"/>
                <w:szCs w:val="18"/>
              </w:rPr>
              <w:t>名额</w:t>
            </w:r>
          </w:p>
        </w:tc>
        <w:tc>
          <w:tcPr>
            <w:tcW w:w="270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备注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tblLayout w:type="fixed"/>
          <w:tblCellMar>
            <w:top w:w="0" w:type="dxa"/>
            <w:left w:w="0" w:type="dxa"/>
            <w:bottom w:w="0" w:type="dxa"/>
            <w:right w:w="0" w:type="dxa"/>
          </w:tblCellMar>
        </w:tblPrEx>
        <w:tc>
          <w:tcPr>
            <w:tcW w:w="121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120100</w:t>
            </w:r>
          </w:p>
        </w:tc>
        <w:tc>
          <w:tcPr>
            <w:tcW w:w="169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管理科学与工程</w:t>
            </w:r>
          </w:p>
        </w:tc>
        <w:tc>
          <w:tcPr>
            <w:tcW w:w="114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国家线</w:t>
            </w:r>
          </w:p>
        </w:tc>
        <w:tc>
          <w:tcPr>
            <w:tcW w:w="94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全日制</w:t>
            </w:r>
          </w:p>
        </w:tc>
        <w:tc>
          <w:tcPr>
            <w:tcW w:w="1335"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14</w:t>
            </w:r>
          </w:p>
        </w:tc>
        <w:tc>
          <w:tcPr>
            <w:tcW w:w="2700" w:type="dxa"/>
            <w:tcBorders>
              <w:top w:val="outset" w:color="auto" w:sz="6" w:space="0"/>
              <w:left w:val="outset" w:color="auto" w:sz="6" w:space="0"/>
              <w:bottom w:val="outset" w:color="auto" w:sz="6" w:space="0"/>
              <w:right w:val="outset" w:color="auto" w:sz="6" w:space="0"/>
            </w:tcBorders>
            <w:shd w:val="clear"/>
            <w:vAlign w:val="center"/>
          </w:tcPr>
          <w:p>
            <w:pPr>
              <w:pStyle w:val="3"/>
              <w:keepNext w:val="0"/>
              <w:keepLines w:val="0"/>
              <w:widowControl/>
              <w:suppressLineNumbers w:val="0"/>
              <w:rPr>
                <w:sz w:val="18"/>
                <w:szCs w:val="18"/>
              </w:rPr>
            </w:pPr>
            <w:r>
              <w:rPr>
                <w:sz w:val="18"/>
                <w:szCs w:val="18"/>
              </w:rPr>
              <w:t>注：推免生1人</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三、复试内容</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1.外语听力和口语水平测试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所有专业考生均须进行外语听力和口语水平测试，分值为30分。外语听力和口语水平测试主要测试考生的听力理解能力和运用英语知识与技能进行口头交际的能力。</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2.专业测试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所有专业均须进行专业测试，分值为120分。专业测试着重考核考生对专业基础理论、基本知识掌握的深度和广度。考试时间一般为2.5小时，考试形式为笔试（闭卷）。考试科目如下：</w:t>
      </w:r>
    </w:p>
    <w:tbl>
      <w:tblPr>
        <w:tblW w:w="7530" w:type="dxa"/>
        <w:tblInd w:w="0" w:type="dxa"/>
        <w:shd w:val="clear"/>
        <w:tblLayout w:type="fixed"/>
        <w:tblCellMar>
          <w:top w:w="0" w:type="dxa"/>
          <w:left w:w="0" w:type="dxa"/>
          <w:bottom w:w="0" w:type="dxa"/>
          <w:right w:w="0" w:type="dxa"/>
        </w:tblCellMar>
      </w:tblPr>
      <w:tblGrid>
        <w:gridCol w:w="2460"/>
        <w:gridCol w:w="1455"/>
        <w:gridCol w:w="3615"/>
      </w:tblGrid>
      <w:tr>
        <w:tblPrEx>
          <w:shd w:val="clear"/>
          <w:tblLayout w:type="fixed"/>
          <w:tblCellMar>
            <w:top w:w="0" w:type="dxa"/>
            <w:left w:w="0" w:type="dxa"/>
            <w:bottom w:w="0" w:type="dxa"/>
            <w:right w:w="0" w:type="dxa"/>
          </w:tblCellMar>
        </w:tblPrEx>
        <w:tc>
          <w:tcPr>
            <w:tcW w:w="2460" w:type="dxa"/>
            <w:shd w:val="clear"/>
            <w:vAlign w:val="center"/>
          </w:tcPr>
          <w:p>
            <w:pPr>
              <w:pStyle w:val="3"/>
              <w:keepNext w:val="0"/>
              <w:keepLines w:val="0"/>
              <w:widowControl/>
              <w:suppressLineNumbers w:val="0"/>
              <w:rPr>
                <w:sz w:val="18"/>
                <w:szCs w:val="18"/>
              </w:rPr>
            </w:pPr>
            <w:r>
              <w:rPr>
                <w:rStyle w:val="6"/>
                <w:sz w:val="18"/>
                <w:szCs w:val="18"/>
              </w:rPr>
              <w:t>专业代码、名称及</w:t>
            </w:r>
          </w:p>
          <w:p>
            <w:pPr>
              <w:pStyle w:val="3"/>
              <w:keepNext w:val="0"/>
              <w:keepLines w:val="0"/>
              <w:widowControl/>
              <w:suppressLineNumbers w:val="0"/>
              <w:rPr>
                <w:sz w:val="18"/>
                <w:szCs w:val="18"/>
              </w:rPr>
            </w:pPr>
            <w:r>
              <w:rPr>
                <w:rStyle w:val="6"/>
                <w:sz w:val="18"/>
                <w:szCs w:val="18"/>
              </w:rPr>
              <w:t>研究方向</w:t>
            </w:r>
          </w:p>
        </w:tc>
        <w:tc>
          <w:tcPr>
            <w:tcW w:w="1455" w:type="dxa"/>
            <w:shd w:val="clear"/>
            <w:vAlign w:val="center"/>
          </w:tcPr>
          <w:p>
            <w:pPr>
              <w:pStyle w:val="3"/>
              <w:keepNext w:val="0"/>
              <w:keepLines w:val="0"/>
              <w:widowControl/>
              <w:suppressLineNumbers w:val="0"/>
              <w:rPr>
                <w:sz w:val="18"/>
                <w:szCs w:val="18"/>
              </w:rPr>
            </w:pPr>
            <w:r>
              <w:rPr>
                <w:rStyle w:val="6"/>
                <w:sz w:val="18"/>
                <w:szCs w:val="18"/>
              </w:rPr>
              <w:t>复试时</w:t>
            </w:r>
          </w:p>
          <w:p>
            <w:pPr>
              <w:pStyle w:val="3"/>
              <w:keepNext w:val="0"/>
              <w:keepLines w:val="0"/>
              <w:widowControl/>
              <w:suppressLineNumbers w:val="0"/>
              <w:rPr>
                <w:sz w:val="18"/>
                <w:szCs w:val="18"/>
              </w:rPr>
            </w:pPr>
            <w:r>
              <w:rPr>
                <w:rStyle w:val="6"/>
                <w:sz w:val="18"/>
                <w:szCs w:val="18"/>
              </w:rPr>
              <w:t>笔试科目</w:t>
            </w:r>
          </w:p>
        </w:tc>
        <w:tc>
          <w:tcPr>
            <w:tcW w:w="3615" w:type="dxa"/>
            <w:shd w:val="clear"/>
            <w:vAlign w:val="center"/>
          </w:tcPr>
          <w:p>
            <w:pPr>
              <w:pStyle w:val="3"/>
              <w:keepNext w:val="0"/>
              <w:keepLines w:val="0"/>
              <w:widowControl/>
              <w:suppressLineNumbers w:val="0"/>
              <w:rPr>
                <w:sz w:val="18"/>
                <w:szCs w:val="18"/>
              </w:rPr>
            </w:pPr>
            <w:r>
              <w:rPr>
                <w:rStyle w:val="6"/>
                <w:sz w:val="18"/>
                <w:szCs w:val="18"/>
              </w:rPr>
              <w:t>复试时同等学力</w:t>
            </w:r>
          </w:p>
          <w:p>
            <w:pPr>
              <w:pStyle w:val="3"/>
              <w:keepNext w:val="0"/>
              <w:keepLines w:val="0"/>
              <w:widowControl/>
              <w:suppressLineNumbers w:val="0"/>
              <w:rPr>
                <w:sz w:val="18"/>
                <w:szCs w:val="18"/>
              </w:rPr>
            </w:pPr>
            <w:r>
              <w:rPr>
                <w:rStyle w:val="6"/>
                <w:sz w:val="18"/>
                <w:szCs w:val="18"/>
              </w:rPr>
              <w:t>加试科目</w:t>
            </w:r>
          </w:p>
        </w:tc>
      </w:tr>
      <w:tr>
        <w:tblPrEx>
          <w:tblLayout w:type="fixed"/>
          <w:tblCellMar>
            <w:top w:w="0" w:type="dxa"/>
            <w:left w:w="0" w:type="dxa"/>
            <w:bottom w:w="0" w:type="dxa"/>
            <w:right w:w="0" w:type="dxa"/>
          </w:tblCellMar>
        </w:tblPrEx>
        <w:tc>
          <w:tcPr>
            <w:tcW w:w="2460" w:type="dxa"/>
            <w:shd w:val="clear"/>
            <w:vAlign w:val="center"/>
          </w:tcPr>
          <w:p>
            <w:pPr>
              <w:pStyle w:val="3"/>
              <w:keepNext w:val="0"/>
              <w:keepLines w:val="0"/>
              <w:widowControl/>
              <w:suppressLineNumbers w:val="0"/>
              <w:rPr>
                <w:sz w:val="18"/>
                <w:szCs w:val="18"/>
              </w:rPr>
            </w:pPr>
            <w:r>
              <w:rPr>
                <w:rStyle w:val="6"/>
                <w:sz w:val="18"/>
                <w:szCs w:val="18"/>
              </w:rPr>
              <w:t>120100管理科学与工程</w:t>
            </w:r>
          </w:p>
          <w:p>
            <w:pPr>
              <w:pStyle w:val="3"/>
              <w:keepNext w:val="0"/>
              <w:keepLines w:val="0"/>
              <w:widowControl/>
              <w:suppressLineNumbers w:val="0"/>
              <w:rPr>
                <w:sz w:val="18"/>
                <w:szCs w:val="18"/>
              </w:rPr>
            </w:pPr>
            <w:r>
              <w:rPr>
                <w:sz w:val="18"/>
                <w:szCs w:val="18"/>
              </w:rPr>
              <w:t>01信息管理与管理信息系统</w:t>
            </w:r>
          </w:p>
          <w:p>
            <w:pPr>
              <w:pStyle w:val="3"/>
              <w:keepNext w:val="0"/>
              <w:keepLines w:val="0"/>
              <w:widowControl/>
              <w:suppressLineNumbers w:val="0"/>
              <w:rPr>
                <w:sz w:val="18"/>
                <w:szCs w:val="18"/>
              </w:rPr>
            </w:pPr>
            <w:r>
              <w:rPr>
                <w:sz w:val="18"/>
                <w:szCs w:val="18"/>
              </w:rPr>
              <w:t>02企业管理与电子商务</w:t>
            </w:r>
          </w:p>
          <w:p>
            <w:pPr>
              <w:pStyle w:val="3"/>
              <w:keepNext w:val="0"/>
              <w:keepLines w:val="0"/>
              <w:widowControl/>
              <w:suppressLineNumbers w:val="0"/>
              <w:rPr>
                <w:sz w:val="18"/>
                <w:szCs w:val="18"/>
              </w:rPr>
            </w:pPr>
            <w:r>
              <w:rPr>
                <w:sz w:val="18"/>
                <w:szCs w:val="18"/>
              </w:rPr>
              <w:t>03 金融管理与金融工程</w:t>
            </w:r>
          </w:p>
          <w:p>
            <w:pPr>
              <w:pStyle w:val="3"/>
              <w:keepNext w:val="0"/>
              <w:keepLines w:val="0"/>
              <w:widowControl/>
              <w:suppressLineNumbers w:val="0"/>
              <w:rPr>
                <w:sz w:val="18"/>
                <w:szCs w:val="18"/>
              </w:rPr>
            </w:pPr>
            <w:r>
              <w:rPr>
                <w:sz w:val="18"/>
                <w:szCs w:val="18"/>
              </w:rPr>
              <w:t>04 人工智能与决策支持</w:t>
            </w:r>
          </w:p>
          <w:p>
            <w:pPr>
              <w:pStyle w:val="3"/>
              <w:keepNext w:val="0"/>
              <w:keepLines w:val="0"/>
              <w:widowControl/>
              <w:suppressLineNumbers w:val="0"/>
              <w:rPr>
                <w:sz w:val="18"/>
                <w:szCs w:val="18"/>
              </w:rPr>
            </w:pPr>
            <w:r>
              <w:rPr>
                <w:sz w:val="18"/>
                <w:szCs w:val="18"/>
              </w:rPr>
              <w:t>05人力资源与财务管理</w:t>
            </w:r>
          </w:p>
        </w:tc>
        <w:tc>
          <w:tcPr>
            <w:tcW w:w="1455" w:type="dxa"/>
            <w:shd w:val="clear"/>
            <w:vAlign w:val="center"/>
          </w:tcPr>
          <w:p>
            <w:pPr>
              <w:pStyle w:val="3"/>
              <w:keepNext w:val="0"/>
              <w:keepLines w:val="0"/>
              <w:widowControl/>
              <w:suppressLineNumbers w:val="0"/>
              <w:rPr>
                <w:sz w:val="18"/>
                <w:szCs w:val="18"/>
              </w:rPr>
            </w:pPr>
            <w:r>
              <w:rPr>
                <w:sz w:val="18"/>
                <w:szCs w:val="18"/>
              </w:rPr>
              <w:t>01、04方向：数据库系统概论</w:t>
            </w:r>
          </w:p>
          <w:p>
            <w:pPr>
              <w:pStyle w:val="3"/>
              <w:keepNext w:val="0"/>
              <w:keepLines w:val="0"/>
              <w:widowControl/>
              <w:suppressLineNumbers w:val="0"/>
              <w:rPr>
                <w:sz w:val="18"/>
                <w:szCs w:val="18"/>
              </w:rPr>
            </w:pPr>
            <w:r>
              <w:rPr>
                <w:sz w:val="18"/>
                <w:szCs w:val="18"/>
              </w:rPr>
              <w:t>02、03、05方向：经济学</w:t>
            </w:r>
          </w:p>
        </w:tc>
        <w:tc>
          <w:tcPr>
            <w:tcW w:w="3615" w:type="dxa"/>
            <w:shd w:val="clear"/>
            <w:vAlign w:val="center"/>
          </w:tcPr>
          <w:p>
            <w:pPr>
              <w:pStyle w:val="3"/>
              <w:keepNext w:val="0"/>
              <w:keepLines w:val="0"/>
              <w:widowControl/>
              <w:suppressLineNumbers w:val="0"/>
              <w:rPr>
                <w:sz w:val="18"/>
                <w:szCs w:val="18"/>
              </w:rPr>
            </w:pPr>
            <w:r>
              <w:rPr>
                <w:sz w:val="18"/>
                <w:szCs w:val="18"/>
              </w:rPr>
              <w:t>01、04方向：①C语言程序设计②操作系统原理</w:t>
            </w:r>
          </w:p>
          <w:p>
            <w:pPr>
              <w:pStyle w:val="3"/>
              <w:keepNext w:val="0"/>
              <w:keepLines w:val="0"/>
              <w:widowControl/>
              <w:suppressLineNumbers w:val="0"/>
              <w:rPr>
                <w:sz w:val="18"/>
                <w:szCs w:val="18"/>
              </w:rPr>
            </w:pPr>
            <w:r>
              <w:rPr>
                <w:sz w:val="18"/>
                <w:szCs w:val="18"/>
              </w:rPr>
              <w:t>02方向：①电子商务概论②管理信息系统</w:t>
            </w:r>
          </w:p>
          <w:p>
            <w:pPr>
              <w:pStyle w:val="3"/>
              <w:keepNext w:val="0"/>
              <w:keepLines w:val="0"/>
              <w:widowControl/>
              <w:suppressLineNumbers w:val="0"/>
              <w:rPr>
                <w:sz w:val="18"/>
                <w:szCs w:val="18"/>
              </w:rPr>
            </w:pPr>
            <w:r>
              <w:rPr>
                <w:sz w:val="18"/>
                <w:szCs w:val="18"/>
              </w:rPr>
              <w:t>03方向：①金融学②统计学</w:t>
            </w:r>
          </w:p>
          <w:p>
            <w:pPr>
              <w:pStyle w:val="3"/>
              <w:keepNext w:val="0"/>
              <w:keepLines w:val="0"/>
              <w:widowControl/>
              <w:suppressLineNumbers w:val="0"/>
              <w:rPr>
                <w:sz w:val="18"/>
                <w:szCs w:val="18"/>
              </w:rPr>
            </w:pPr>
            <w:r>
              <w:rPr>
                <w:sz w:val="18"/>
                <w:szCs w:val="18"/>
              </w:rPr>
              <w:t>05方向：①人力资源管理②财务管理学</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3.综合素质面试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所有专业考生均须进行综合素质面试，分值为100分。面试主要考核考生的专业基础知识、创新意识与能力、心理健康状况及综合素质等。面试采取抽取题签回答问题的形式，如面试教师认为有必要，可补充提问。具体要求如下：</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（1）每生时间一般不少于20分钟；</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（2）每个复试小组成员一般不少于5人；</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（3）每个专业必须提前准备好复试题签，还应对每位考生的作答情况进行现场记录，并妥存备查；</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（4）同一学科（专业）各复试小组的面试方式、时间安排、试题难度和成绩评定标准应统一。</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5.同等学力加试</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以同等学力参加复试的考生，在复试中须加试至少两门与报考专业相关的本科主干课程。加试科目不得与初试科目相同。加试方式为笔试。同等学力加试科目每门分值为100分。同等学力加试成绩不计入总分。</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四、复试日程安排</w:t>
      </w:r>
    </w:p>
    <w:tbl>
      <w:tblPr>
        <w:tblW w:w="8520" w:type="dxa"/>
        <w:tblInd w:w="0" w:type="dxa"/>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7F7F7"/>
        <w:tblLayout w:type="fixed"/>
        <w:tblCellMar>
          <w:top w:w="0" w:type="dxa"/>
          <w:left w:w="0" w:type="dxa"/>
          <w:bottom w:w="0" w:type="dxa"/>
          <w:right w:w="0" w:type="dxa"/>
        </w:tblCellMar>
      </w:tblPr>
      <w:tblGrid>
        <w:gridCol w:w="417"/>
        <w:gridCol w:w="888"/>
        <w:gridCol w:w="1213"/>
        <w:gridCol w:w="1000"/>
        <w:gridCol w:w="5002"/>
      </w:tblGrid>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序号</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项目</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时间</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地点</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备注</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1</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报到、资格审查</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3月30日</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先术楼X3313</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须携带身份证、学历（学籍）在线验证报告、政审表等见http://yz.jxnu.edu.cn/s/331/t/1566/de/b1/info122545.htm</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2</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体检</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3月30日7:00-12:00</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校医院</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身份证、一寸近期免冠照片2张等</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外语口语听力</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3月30日</w:t>
            </w:r>
          </w:p>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14：00-16:00</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W3403</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W3405 候考</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4</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专业测试</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3月31日</w:t>
            </w:r>
          </w:p>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9:00-11:30</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W3403</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 </w:t>
            </w:r>
          </w:p>
        </w:tc>
      </w:tr>
      <w:tr>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shd w:val="clear" w:color="auto" w:fill="F7F7F7"/>
          <w:tblLayout w:type="fixed"/>
          <w:tblCellMar>
            <w:top w:w="0" w:type="dxa"/>
            <w:left w:w="0" w:type="dxa"/>
            <w:bottom w:w="0" w:type="dxa"/>
            <w:right w:w="0" w:type="dxa"/>
          </w:tblCellMar>
        </w:tblPrEx>
        <w:tc>
          <w:tcPr>
            <w:tcW w:w="417"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5</w:t>
            </w:r>
          </w:p>
        </w:tc>
        <w:tc>
          <w:tcPr>
            <w:tcW w:w="888"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综合素质面试</w:t>
            </w:r>
          </w:p>
        </w:tc>
        <w:tc>
          <w:tcPr>
            <w:tcW w:w="1213"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3月31日</w:t>
            </w:r>
          </w:p>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14:00-16:00</w:t>
            </w:r>
          </w:p>
        </w:tc>
        <w:tc>
          <w:tcPr>
            <w:tcW w:w="1000"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W3403</w:t>
            </w:r>
          </w:p>
        </w:tc>
        <w:tc>
          <w:tcPr>
            <w:tcW w:w="5002" w:type="dxa"/>
            <w:tcBorders>
              <w:top w:val="outset" w:color="auto" w:sz="6" w:space="0"/>
              <w:left w:val="outset" w:color="auto" w:sz="6" w:space="0"/>
              <w:bottom w:val="outset" w:color="auto" w:sz="6" w:space="0"/>
              <w:right w:val="outset" w:color="auto" w:sz="6" w:space="0"/>
            </w:tcBorders>
            <w:shd w:val="clear" w:color="auto" w:fill="F7F7F7"/>
            <w:vAlign w:val="center"/>
          </w:tcPr>
          <w:p>
            <w:pPr>
              <w:pStyle w:val="3"/>
              <w:keepNext w:val="0"/>
              <w:keepLines w:val="0"/>
              <w:widowControl/>
              <w:suppressLineNumbers w:val="0"/>
              <w:rPr>
                <w:sz w:val="18"/>
                <w:szCs w:val="18"/>
              </w:rPr>
            </w:pPr>
            <w:r>
              <w:rPr>
                <w:rFonts w:hint="eastAsia" w:ascii="微软雅黑" w:hAnsi="微软雅黑" w:eastAsia="微软雅黑" w:cs="微软雅黑"/>
                <w:caps w:val="0"/>
                <w:spacing w:val="0"/>
                <w:sz w:val="18"/>
                <w:szCs w:val="18"/>
              </w:rPr>
              <w:t>W3405 候考</w:t>
            </w:r>
          </w:p>
        </w:tc>
      </w:tr>
    </w:tbl>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五、总成绩计算</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复试成绩=英语口语听力成绩+专业测试成绩+综合素质面试成绩</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总成绩=初试成绩+复试成绩</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六、拟录取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1.未经复试的考生一律不得录取；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2.复试期间若发现考生提供虚假信息、不符合报考条件、考试违纪舞弊、身体及思想政治道德状况不符合录取要求的，一律不予录取；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3.复试总成绩不合格（低于150分），或同等学力考生加试科目中的任何一门考试成绩低于60分，或任一科目考试成绩为零分的，原则上不予录取。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4.复试总成绩与初试总成绩相加为考生总成绩。录取时按照考生总成绩排序，依次录取。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5.调剂考生须在复试结果公布后按研招办要求及时办理有关调剂录取手续，否则将取消拟录取资格。</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6.一志愿考生、调剂生分别单独排名录取。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7.同一专业全日制与非全日制考生分开排名录取。</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8.“少数民族高层次骨干人才计划”、“退役大学生士兵专项硕士研究生招生计划”考生分别单独排名。</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七、公示网址：http://rjxy.jxnu.edu.cn/</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八、申诉渠道</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软件学院：0791-8812478</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校研招办：0791-88120608</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校纪委：0791-88120026</w:t>
      </w:r>
    </w:p>
    <w:p>
      <w:pPr>
        <w:pStyle w:val="3"/>
        <w:keepNext w:val="0"/>
        <w:keepLines w:val="0"/>
        <w:widowControl/>
        <w:suppressLineNumbers w:val="0"/>
        <w:shd w:val="clear" w:fill="F7F7F7"/>
        <w:ind w:left="0" w:firstLine="0"/>
        <w:rPr>
          <w:rFonts w:hint="eastAsia" w:ascii="微软雅黑" w:hAnsi="微软雅黑" w:eastAsia="微软雅黑" w:cs="微软雅黑"/>
          <w:b w:val="0"/>
          <w:i w:val="0"/>
          <w:caps w:val="0"/>
          <w:color w:val="333333"/>
          <w:spacing w:val="0"/>
          <w:sz w:val="18"/>
          <w:szCs w:val="18"/>
        </w:rPr>
      </w:pPr>
      <w:r>
        <w:rPr>
          <w:rFonts w:hint="eastAsia" w:ascii="微软雅黑" w:hAnsi="微软雅黑" w:eastAsia="微软雅黑" w:cs="微软雅黑"/>
          <w:b w:val="0"/>
          <w:i w:val="0"/>
          <w:caps w:val="0"/>
          <w:color w:val="333333"/>
          <w:spacing w:val="0"/>
          <w:sz w:val="18"/>
          <w:szCs w:val="18"/>
          <w:shd w:val="clear" w:fill="F7F7F7"/>
        </w:rPr>
        <w:t>九、本实施细则由软件学院复试与录取工作领导小组负责解释，未尽事宜由领导小组研究确定。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5376A95"/>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