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kern w:val="0"/>
          <w:sz w:val="28"/>
          <w:szCs w:val="28"/>
          <w:lang w:val="en-US" w:eastAsia="zh-CN" w:bidi="ar"/>
        </w:rPr>
        <w:t>一、调剂复试录取工作领导小组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二、各专业（方向）调剂复试录取计划</w:t>
      </w:r>
    </w:p>
    <w:tbl>
      <w:tblPr>
        <w:tblW w:w="9029" w:type="dxa"/>
        <w:jc w:val="center"/>
        <w:tblInd w:w="-25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2"/>
        <w:gridCol w:w="1701"/>
        <w:gridCol w:w="1276"/>
        <w:gridCol w:w="1417"/>
        <w:gridCol w:w="1702"/>
        <w:gridCol w:w="17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PrEx>
        <w:trPr>
          <w:trHeight w:val="659" w:hRule="atLeast"/>
          <w:jc w:val="center"/>
        </w:trPr>
        <w:tc>
          <w:tcPr>
            <w:tcW w:w="12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分数线</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方式</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一志愿名额</w:t>
            </w:r>
          </w:p>
        </w:tc>
        <w:tc>
          <w:tcPr>
            <w:tcW w:w="172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3</w:t>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非全日制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w:t>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26</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三、调剂条件</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、全日制本科毕业生，且初试成绩达到国家</w:t>
      </w:r>
      <w:r>
        <w:rPr>
          <w:rFonts w:hint="eastAsia" w:ascii="仿宋" w:hAnsi="仿宋" w:eastAsia="仿宋" w:cs="仿宋"/>
          <w:b w:val="0"/>
          <w:i w:val="0"/>
          <w:caps w:val="0"/>
          <w:color w:val="262626"/>
          <w:spacing w:val="0"/>
          <w:sz w:val="28"/>
          <w:szCs w:val="28"/>
          <w:lang w:val="en-US"/>
        </w:rPr>
        <w:t>A</w:t>
      </w:r>
      <w:r>
        <w:rPr>
          <w:rFonts w:hint="eastAsia" w:ascii="仿宋" w:hAnsi="仿宋" w:eastAsia="仿宋" w:cs="仿宋"/>
          <w:b w:val="0"/>
          <w:i w:val="0"/>
          <w:caps w:val="0"/>
          <w:color w:val="262626"/>
          <w:spacing w:val="0"/>
          <w:sz w:val="28"/>
          <w:szCs w:val="28"/>
        </w:rPr>
        <w:t>类地区复试分数线。</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、第一志愿报考工商管理、公共管理、旅游管理、会计、工程管理、图书情报和审计专业的考生。</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、满足教育部有关调剂的其它要求。</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、以收到调剂考生在研招网调剂系统上提交的调剂信息为准，按照初试成绩择优选定复试对象。</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四、调剂复试内容</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1. </w:t>
      </w:r>
      <w:r>
        <w:rPr>
          <w:rFonts w:hint="eastAsia" w:ascii="仿宋" w:hAnsi="仿宋" w:eastAsia="仿宋" w:cs="仿宋"/>
          <w:b w:val="0"/>
          <w:i w:val="0"/>
          <w:caps w:val="0"/>
          <w:color w:val="262626"/>
          <w:spacing w:val="0"/>
          <w:sz w:val="28"/>
          <w:szCs w:val="28"/>
        </w:rPr>
        <w:t>政治理论测试（</w:t>
      </w:r>
      <w:r>
        <w:rPr>
          <w:rFonts w:hint="eastAsia" w:ascii="仿宋" w:hAnsi="仿宋" w:eastAsia="仿宋" w:cs="仿宋"/>
          <w:b w:val="0"/>
          <w:i w:val="0"/>
          <w:caps w:val="0"/>
          <w:color w:val="262626"/>
          <w:spacing w:val="0"/>
          <w:sz w:val="28"/>
          <w:szCs w:val="28"/>
          <w:lang w:val="en-US"/>
        </w:rPr>
        <w:t>50</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政治理论着重考察考生运用马克思主义理论分析问题、解决问题的能力，考核形式为笔试，考试时间由各招生单位确定。</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外语听力和口语水平测试（</w:t>
      </w:r>
      <w:r>
        <w:rPr>
          <w:rFonts w:hint="eastAsia" w:ascii="仿宋" w:hAnsi="仿宋" w:eastAsia="仿宋" w:cs="仿宋"/>
          <w:b w:val="0"/>
          <w:i w:val="0"/>
          <w:caps w:val="0"/>
          <w:color w:val="262626"/>
          <w:spacing w:val="0"/>
          <w:sz w:val="28"/>
          <w:szCs w:val="28"/>
          <w:lang w:val="en-US"/>
        </w:rPr>
        <w:t>30</w:t>
      </w:r>
      <w:r>
        <w:rPr>
          <w:rFonts w:hint="eastAsia" w:ascii="仿宋" w:hAnsi="仿宋" w:eastAsia="仿宋" w:cs="仿宋"/>
          <w:b w:val="0"/>
          <w:i w:val="0"/>
          <w:caps w:val="0"/>
          <w:color w:val="262626"/>
          <w:spacing w:val="0"/>
          <w:sz w:val="28"/>
          <w:szCs w:val="28"/>
        </w:rPr>
        <w:t>分，其中听力</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分、口语</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3.综合素质面试（100分）</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面试主要考核考生的专业基础知识、创新意识与能力、心理健康状况及综合素质等。面试采取抽取题签回答问题的形式，如面试教师认为有必要，可补充提问。</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五、调剂复试日程安排</w:t>
      </w:r>
    </w:p>
    <w:tbl>
      <w:tblPr>
        <w:tblW w:w="88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3"/>
        <w:gridCol w:w="2240"/>
        <w:gridCol w:w="1896"/>
        <w:gridCol w:w="1547"/>
        <w:gridCol w:w="23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2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54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23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4月3日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（7:15—8:50）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4月3日（7:00-8:50）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外语听力（30分钟）</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与政治理论测试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4月3日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（9：00-9：30；9:40-11：10）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学术报告厅</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8"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与外语口语测试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4月3日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（13：00-17:00）</w:t>
            </w:r>
          </w:p>
        </w:tc>
        <w:tc>
          <w:tcPr>
            <w:tcW w:w="15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会议室</w:t>
            </w:r>
          </w:p>
        </w:tc>
        <w:tc>
          <w:tcPr>
            <w:tcW w:w="2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七、拟录取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未经复试的考生一律不得录取；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复试期间若发现考生提供虚假信息、不符合报考条件、考试违纪舞弊、身体及思想政治道德状况不符合录取要求的，一律不予录取；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复试总成绩不合格（低于</w:t>
      </w:r>
      <w:r>
        <w:rPr>
          <w:rFonts w:hint="eastAsia" w:ascii="仿宋" w:hAnsi="仿宋" w:eastAsia="仿宋" w:cs="仿宋"/>
          <w:b w:val="0"/>
          <w:i w:val="0"/>
          <w:caps w:val="0"/>
          <w:color w:val="262626"/>
          <w:spacing w:val="0"/>
          <w:sz w:val="28"/>
          <w:szCs w:val="28"/>
          <w:lang w:val="en-US"/>
        </w:rPr>
        <w:t>108</w:t>
      </w:r>
      <w:r>
        <w:rPr>
          <w:rFonts w:hint="eastAsia" w:ascii="仿宋" w:hAnsi="仿宋" w:eastAsia="仿宋" w:cs="仿宋"/>
          <w:b w:val="0"/>
          <w:i w:val="0"/>
          <w:caps w:val="0"/>
          <w:color w:val="262626"/>
          <w:spacing w:val="0"/>
          <w:sz w:val="28"/>
          <w:szCs w:val="28"/>
        </w:rPr>
        <w:t>分），或任一科目考试成绩为零分的，原则上不予录取。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复试总成绩与初试总成绩相加为考生总成绩。录取时按照考生总成绩排序，依次录取。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调剂考生须在复试结果公布后按研招办要求及时办理有关调剂录取手续，否则将取消拟录取资格。</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6.</w:t>
      </w:r>
      <w:r>
        <w:rPr>
          <w:rFonts w:hint="eastAsia" w:ascii="仿宋" w:hAnsi="仿宋" w:eastAsia="仿宋" w:cs="仿宋"/>
          <w:b w:val="0"/>
          <w:i w:val="0"/>
          <w:caps w:val="0"/>
          <w:color w:val="262626"/>
          <w:spacing w:val="0"/>
          <w:sz w:val="28"/>
          <w:szCs w:val="28"/>
        </w:rPr>
        <w:t>调剂生单独排名录取。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7.</w:t>
      </w:r>
      <w:r>
        <w:rPr>
          <w:rFonts w:hint="eastAsia" w:ascii="仿宋" w:hAnsi="仿宋" w:eastAsia="仿宋" w:cs="仿宋"/>
          <w:b w:val="0"/>
          <w:i w:val="0"/>
          <w:caps w:val="0"/>
          <w:color w:val="262626"/>
          <w:spacing w:val="0"/>
          <w:sz w:val="28"/>
          <w:szCs w:val="28"/>
        </w:rPr>
        <w:t>同一专业全日制与非全日制考生分开排名录取。</w:t>
      </w:r>
    </w:p>
    <w:p>
      <w:pPr>
        <w:keepNext w:val="0"/>
        <w:keepLines w:val="0"/>
        <w:widowControl/>
        <w:suppressLineNumbers w:val="0"/>
        <w:spacing w:before="0" w:beforeAutospacing="1" w:after="0" w:afterAutospacing="1" w:line="480" w:lineRule="atLeast"/>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8.“少数民族高层次骨干人才计划”、“退役大学生士兵专项硕士研究生招生计划”考生分别单独排名。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八、公示网址</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1、江西师范大学商学院（</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"http://sxy.jxnu.edu.cn/"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http://sxy.jxnu.edu.cn/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2、江西师范大学MBA教育中心（</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"http://mba.jxnu.edu.cn/"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http://mba.jxnu.edu.cn/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九、申诉渠道</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商学院MBA教育中心：0791-88121397</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十、本实施细则由商学院招生复试与录取工作领导小组负责解释，未尽事宜由领导小组研究确定。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4777A5E"/>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