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left"/>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kern w:val="0"/>
          <w:sz w:val="28"/>
          <w:szCs w:val="28"/>
          <w:lang w:val="en-US" w:eastAsia="zh-CN" w:bidi="ar"/>
        </w:rPr>
        <w:t>一、调剂复试录取工作领导小组</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二、各专业（方向）调剂复试录取计划</w:t>
      </w:r>
    </w:p>
    <w:tbl>
      <w:tblPr>
        <w:tblW w:w="9029" w:type="dxa"/>
        <w:jc w:val="center"/>
        <w:tblInd w:w="-253"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2"/>
        <w:gridCol w:w="1701"/>
        <w:gridCol w:w="1276"/>
        <w:gridCol w:w="1417"/>
        <w:gridCol w:w="1702"/>
        <w:gridCol w:w="172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9" w:hRule="atLeast"/>
          <w:jc w:val="center"/>
        </w:trPr>
        <w:tc>
          <w:tcPr>
            <w:tcW w:w="12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7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分数线</w:t>
            </w:r>
          </w:p>
        </w:tc>
        <w:tc>
          <w:tcPr>
            <w:tcW w:w="141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学习</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方式</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调剂录取</w:t>
            </w:r>
          </w:p>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名额</w:t>
            </w:r>
          </w:p>
        </w:tc>
        <w:tc>
          <w:tcPr>
            <w:tcW w:w="172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w:t>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12"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12500</w:t>
            </w:r>
          </w:p>
        </w:tc>
        <w:tc>
          <w:tcPr>
            <w:tcW w:w="170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工商管理</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w:t>
            </w:r>
            <w:r>
              <w:rPr>
                <w:rFonts w:hint="eastAsia" w:ascii="仿宋" w:hAnsi="仿宋" w:eastAsia="仿宋" w:cs="仿宋"/>
                <w:sz w:val="18"/>
                <w:szCs w:val="18"/>
                <w:lang w:val="en-US"/>
              </w:rPr>
              <w:t>A</w:t>
            </w:r>
            <w:r>
              <w:rPr>
                <w:rFonts w:hint="eastAsia" w:ascii="仿宋" w:hAnsi="仿宋" w:eastAsia="仿宋" w:cs="仿宋"/>
                <w:sz w:val="18"/>
                <w:szCs w:val="18"/>
              </w:rPr>
              <w:t>线</w:t>
            </w:r>
          </w:p>
        </w:tc>
        <w:tc>
          <w:tcPr>
            <w:tcW w:w="141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非全日制</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37</w:t>
            </w:r>
            <w:bookmarkStart w:id="0" w:name="_GoBack"/>
            <w:r>
              <w:rPr>
                <w:rFonts w:hint="eastAsia" w:ascii="仿宋" w:hAnsi="仿宋" w:eastAsia="仿宋" w:cs="仿宋"/>
                <w:color w:val="3D3D3D"/>
                <w:sz w:val="18"/>
                <w:szCs w:val="18"/>
                <w:u w:val="none"/>
                <w:lang w:val="en-US"/>
              </w:rPr>
              <w:fldChar w:fldCharType="begin"/>
            </w:r>
            <w:r>
              <w:rPr>
                <w:rFonts w:hint="eastAsia" w:ascii="仿宋" w:hAnsi="仿宋" w:eastAsia="仿宋" w:cs="仿宋"/>
                <w:color w:val="3D3D3D"/>
                <w:sz w:val="18"/>
                <w:szCs w:val="18"/>
                <w:u w:val="none"/>
                <w:lang w:val="en-US"/>
              </w:rPr>
              <w:instrText xml:space="preserve"> HYPERLINK "http://sxy.jxnu.edu.cn/s/48/t/751/df/48/info122696.htm" </w:instrText>
            </w:r>
            <w:r>
              <w:rPr>
                <w:rFonts w:hint="eastAsia" w:ascii="仿宋" w:hAnsi="仿宋" w:eastAsia="仿宋" w:cs="仿宋"/>
                <w:color w:val="3D3D3D"/>
                <w:sz w:val="18"/>
                <w:szCs w:val="18"/>
                <w:u w:val="none"/>
                <w:lang w:val="en-US"/>
              </w:rPr>
              <w:fldChar w:fldCharType="separate"/>
            </w:r>
            <w:bookmarkEnd w:id="0"/>
            <w:r>
              <w:rPr>
                <w:rFonts w:hint="eastAsia" w:ascii="仿宋" w:hAnsi="仿宋" w:eastAsia="仿宋" w:cs="仿宋"/>
                <w:color w:val="3D3D3D"/>
                <w:sz w:val="18"/>
                <w:szCs w:val="18"/>
                <w:u w:val="none"/>
                <w:lang w:val="en-US"/>
              </w:rPr>
              <w:fldChar w:fldCharType="end"/>
            </w:r>
          </w:p>
        </w:tc>
        <w:tc>
          <w:tcPr>
            <w:tcW w:w="172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三、调剂条件</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、全日制本科毕业生，且初试成绩达到国家</w:t>
      </w:r>
      <w:r>
        <w:rPr>
          <w:rFonts w:hint="eastAsia" w:ascii="仿宋" w:hAnsi="仿宋" w:eastAsia="仿宋" w:cs="仿宋"/>
          <w:b w:val="0"/>
          <w:i w:val="0"/>
          <w:caps w:val="0"/>
          <w:color w:val="262626"/>
          <w:spacing w:val="0"/>
          <w:sz w:val="28"/>
          <w:szCs w:val="28"/>
          <w:lang w:val="en-US"/>
        </w:rPr>
        <w:t>A</w:t>
      </w:r>
      <w:r>
        <w:rPr>
          <w:rFonts w:hint="eastAsia" w:ascii="仿宋" w:hAnsi="仿宋" w:eastAsia="仿宋" w:cs="仿宋"/>
          <w:b w:val="0"/>
          <w:i w:val="0"/>
          <w:caps w:val="0"/>
          <w:color w:val="262626"/>
          <w:spacing w:val="0"/>
          <w:sz w:val="28"/>
          <w:szCs w:val="28"/>
        </w:rPr>
        <w:t>类地区复试分数线。</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、第一志愿报考工商管理、公共管理、旅游管理、会计、工程管理、图书情报和审计专业的考生。</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、满足教育部有关调剂的其它要求。</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、以收到调剂考生在研招网调剂系统上提交的调剂信息为准，按照初试成绩择优选定复试对象。</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、调剂考生不得变更原第一志愿报考的学习方式。</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四、调剂复试内容</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1. </w:t>
      </w:r>
      <w:r>
        <w:rPr>
          <w:rFonts w:hint="eastAsia" w:ascii="仿宋" w:hAnsi="仿宋" w:eastAsia="仿宋" w:cs="仿宋"/>
          <w:b w:val="0"/>
          <w:i w:val="0"/>
          <w:caps w:val="0"/>
          <w:color w:val="262626"/>
          <w:spacing w:val="0"/>
          <w:sz w:val="28"/>
          <w:szCs w:val="28"/>
        </w:rPr>
        <w:t>政治理论测试（</w:t>
      </w:r>
      <w:r>
        <w:rPr>
          <w:rFonts w:hint="eastAsia" w:ascii="仿宋" w:hAnsi="仿宋" w:eastAsia="仿宋" w:cs="仿宋"/>
          <w:b w:val="0"/>
          <w:i w:val="0"/>
          <w:caps w:val="0"/>
          <w:color w:val="262626"/>
          <w:spacing w:val="0"/>
          <w:sz w:val="28"/>
          <w:szCs w:val="28"/>
          <w:lang w:val="en-US"/>
        </w:rPr>
        <w:t>50</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政治理论着重考察考生运用马克思主义理论分析问题、解决问题的能力，考核形式为笔试，考试时间由各招生单位确定。</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外语听力和口语水平测试（</w:t>
      </w:r>
      <w:r>
        <w:rPr>
          <w:rFonts w:hint="eastAsia" w:ascii="仿宋" w:hAnsi="仿宋" w:eastAsia="仿宋" w:cs="仿宋"/>
          <w:b w:val="0"/>
          <w:i w:val="0"/>
          <w:caps w:val="0"/>
          <w:color w:val="262626"/>
          <w:spacing w:val="0"/>
          <w:sz w:val="28"/>
          <w:szCs w:val="28"/>
          <w:lang w:val="en-US"/>
        </w:rPr>
        <w:t>30</w:t>
      </w:r>
      <w:r>
        <w:rPr>
          <w:rFonts w:hint="eastAsia" w:ascii="仿宋" w:hAnsi="仿宋" w:eastAsia="仿宋" w:cs="仿宋"/>
          <w:b w:val="0"/>
          <w:i w:val="0"/>
          <w:caps w:val="0"/>
          <w:color w:val="262626"/>
          <w:spacing w:val="0"/>
          <w:sz w:val="28"/>
          <w:szCs w:val="28"/>
        </w:rPr>
        <w:t>分，其中听力</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分、口语</w:t>
      </w:r>
      <w:r>
        <w:rPr>
          <w:rFonts w:hint="eastAsia" w:ascii="仿宋" w:hAnsi="仿宋" w:eastAsia="仿宋" w:cs="仿宋"/>
          <w:b w:val="0"/>
          <w:i w:val="0"/>
          <w:caps w:val="0"/>
          <w:color w:val="262626"/>
          <w:spacing w:val="0"/>
          <w:sz w:val="28"/>
          <w:szCs w:val="28"/>
          <w:lang w:val="en-US"/>
        </w:rPr>
        <w:t>15</w:t>
      </w:r>
      <w:r>
        <w:rPr>
          <w:rFonts w:hint="eastAsia" w:ascii="仿宋" w:hAnsi="仿宋" w:eastAsia="仿宋" w:cs="仿宋"/>
          <w:b w:val="0"/>
          <w:i w:val="0"/>
          <w:caps w:val="0"/>
          <w:color w:val="262626"/>
          <w:spacing w:val="0"/>
          <w:sz w:val="28"/>
          <w:szCs w:val="28"/>
        </w:rPr>
        <w:t>分）</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rPr>
        <w:t>外语听力和口语水平测试主要测试考生的听力理解能力和运用英语知识与技能进行口头交际的能力。形式主要为英文文献阅读，现场抽题、考生朗读并回答问题，英文对话等。具体考核形式考试时间由各招生单位确定。</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3.综合素质面试（100分）</w:t>
      </w:r>
    </w:p>
    <w:p>
      <w:pPr>
        <w:keepNext w:val="0"/>
        <w:keepLines w:val="0"/>
        <w:widowControl/>
        <w:suppressLineNumbers w:val="0"/>
        <w:spacing w:before="0" w:beforeAutospacing="1" w:after="0" w:afterAutospacing="1" w:line="480" w:lineRule="atLeast"/>
        <w:ind w:left="0" w:right="0" w:firstLine="56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面试主要考核考生的专业基础知识、创新意识与能力、心理健康状况及综合素质等。面试采取抽取题签回答问题的形式，如面试教师认为有必要，可补充提问。</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五、调剂复试日程安排</w:t>
      </w:r>
    </w:p>
    <w:tbl>
      <w:tblPr>
        <w:tblW w:w="88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823"/>
        <w:gridCol w:w="2239"/>
        <w:gridCol w:w="1896"/>
        <w:gridCol w:w="1549"/>
        <w:gridCol w:w="23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23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89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54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239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（7:15—8:50）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3月30日（7:00-8:50）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029"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外语听力（30分钟）</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与政治理论测试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（9：00-9：30；9:40-11：10）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商学院三楼</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学术报告厅</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准标准化全程摄像监控留底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8" w:hRule="atLeast"/>
        </w:trPr>
        <w:tc>
          <w:tcPr>
            <w:tcW w:w="82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与外语口语测试</w:t>
            </w:r>
          </w:p>
        </w:tc>
        <w:tc>
          <w:tcPr>
            <w:tcW w:w="189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（13：00-19:00）</w:t>
            </w:r>
          </w:p>
        </w:tc>
        <w:tc>
          <w:tcPr>
            <w:tcW w:w="154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惟义楼教室（6个）</w:t>
            </w:r>
          </w:p>
        </w:tc>
        <w:tc>
          <w:tcPr>
            <w:tcW w:w="239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标准化考场</w:t>
            </w:r>
          </w:p>
        </w:tc>
      </w:tr>
    </w:tbl>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六、总成绩计算</w:t>
      </w:r>
    </w:p>
    <w:p>
      <w:pPr>
        <w:keepNext w:val="0"/>
        <w:keepLines w:val="0"/>
        <w:widowControl/>
        <w:suppressLineNumbers w:val="0"/>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总成绩=初试成绩+复试成绩</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七、拟录取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1.</w:t>
      </w:r>
      <w:r>
        <w:rPr>
          <w:rFonts w:hint="eastAsia" w:ascii="仿宋" w:hAnsi="仿宋" w:eastAsia="仿宋" w:cs="仿宋"/>
          <w:b w:val="0"/>
          <w:i w:val="0"/>
          <w:caps w:val="0"/>
          <w:color w:val="262626"/>
          <w:spacing w:val="0"/>
          <w:sz w:val="28"/>
          <w:szCs w:val="28"/>
        </w:rPr>
        <w:t>未经复试的考生一律不得录取；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2.</w:t>
      </w:r>
      <w:r>
        <w:rPr>
          <w:rFonts w:hint="eastAsia" w:ascii="仿宋" w:hAnsi="仿宋" w:eastAsia="仿宋" w:cs="仿宋"/>
          <w:b w:val="0"/>
          <w:i w:val="0"/>
          <w:caps w:val="0"/>
          <w:color w:val="262626"/>
          <w:spacing w:val="0"/>
          <w:sz w:val="28"/>
          <w:szCs w:val="28"/>
        </w:rPr>
        <w:t>复试期间若发现考生提供虚假信息、不符合报考条件、考试违纪舞弊、身体及思想政治道德状况不符合录取要求的，一律不予录取；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3.</w:t>
      </w:r>
      <w:r>
        <w:rPr>
          <w:rFonts w:hint="eastAsia" w:ascii="仿宋" w:hAnsi="仿宋" w:eastAsia="仿宋" w:cs="仿宋"/>
          <w:b w:val="0"/>
          <w:i w:val="0"/>
          <w:caps w:val="0"/>
          <w:color w:val="262626"/>
          <w:spacing w:val="0"/>
          <w:sz w:val="28"/>
          <w:szCs w:val="28"/>
        </w:rPr>
        <w:t>复试总成绩不合格（低于</w:t>
      </w:r>
      <w:r>
        <w:rPr>
          <w:rFonts w:hint="eastAsia" w:ascii="仿宋" w:hAnsi="仿宋" w:eastAsia="仿宋" w:cs="仿宋"/>
          <w:b w:val="0"/>
          <w:i w:val="0"/>
          <w:caps w:val="0"/>
          <w:color w:val="262626"/>
          <w:spacing w:val="0"/>
          <w:sz w:val="28"/>
          <w:szCs w:val="28"/>
          <w:lang w:val="en-US"/>
        </w:rPr>
        <w:t>108</w:t>
      </w:r>
      <w:r>
        <w:rPr>
          <w:rFonts w:hint="eastAsia" w:ascii="仿宋" w:hAnsi="仿宋" w:eastAsia="仿宋" w:cs="仿宋"/>
          <w:b w:val="0"/>
          <w:i w:val="0"/>
          <w:caps w:val="0"/>
          <w:color w:val="262626"/>
          <w:spacing w:val="0"/>
          <w:sz w:val="28"/>
          <w:szCs w:val="28"/>
        </w:rPr>
        <w:t>分），或任一科目考试成绩为零分的，原则上不予录取。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4.</w:t>
      </w:r>
      <w:r>
        <w:rPr>
          <w:rFonts w:hint="eastAsia" w:ascii="仿宋" w:hAnsi="仿宋" w:eastAsia="仿宋" w:cs="仿宋"/>
          <w:b w:val="0"/>
          <w:i w:val="0"/>
          <w:caps w:val="0"/>
          <w:color w:val="262626"/>
          <w:spacing w:val="0"/>
          <w:sz w:val="28"/>
          <w:szCs w:val="28"/>
        </w:rPr>
        <w:t>复试总成绩与初试总成绩相加为考生总成绩。录取时按照考生总成绩排序，依次录取。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5.</w:t>
      </w:r>
      <w:r>
        <w:rPr>
          <w:rFonts w:hint="eastAsia" w:ascii="仿宋" w:hAnsi="仿宋" w:eastAsia="仿宋" w:cs="仿宋"/>
          <w:b w:val="0"/>
          <w:i w:val="0"/>
          <w:caps w:val="0"/>
          <w:color w:val="262626"/>
          <w:spacing w:val="0"/>
          <w:sz w:val="28"/>
          <w:szCs w:val="28"/>
        </w:rPr>
        <w:t>调剂考生须在复试结果公布后按研招办要求及时办理有关调剂录取手续，否则将取消拟录取资格。</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6.</w:t>
      </w:r>
      <w:r>
        <w:rPr>
          <w:rFonts w:hint="eastAsia" w:ascii="仿宋" w:hAnsi="仿宋" w:eastAsia="仿宋" w:cs="仿宋"/>
          <w:b w:val="0"/>
          <w:i w:val="0"/>
          <w:caps w:val="0"/>
          <w:color w:val="262626"/>
          <w:spacing w:val="0"/>
          <w:sz w:val="28"/>
          <w:szCs w:val="28"/>
        </w:rPr>
        <w:t>调剂生单独排名录取。</w:t>
      </w:r>
    </w:p>
    <w:p>
      <w:pPr>
        <w:pStyle w:val="3"/>
        <w:keepNext w:val="0"/>
        <w:keepLines w:val="0"/>
        <w:widowControl/>
        <w:suppressLineNumbers w:val="0"/>
        <w:spacing w:before="0" w:beforeAutospacing="0" w:after="0" w:afterAutospacing="0" w:line="48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lang w:val="en-US"/>
        </w:rPr>
        <w:t>7.</w:t>
      </w:r>
      <w:r>
        <w:rPr>
          <w:rFonts w:hint="eastAsia" w:ascii="仿宋" w:hAnsi="仿宋" w:eastAsia="仿宋" w:cs="仿宋"/>
          <w:b w:val="0"/>
          <w:i w:val="0"/>
          <w:caps w:val="0"/>
          <w:color w:val="262626"/>
          <w:spacing w:val="0"/>
          <w:sz w:val="28"/>
          <w:szCs w:val="28"/>
        </w:rPr>
        <w:t>同一专业全日制与非全日制考生分开排名录取。</w:t>
      </w:r>
    </w:p>
    <w:p>
      <w:pPr>
        <w:keepNext w:val="0"/>
        <w:keepLines w:val="0"/>
        <w:widowControl/>
        <w:suppressLineNumbers w:val="0"/>
        <w:spacing w:before="0" w:beforeAutospacing="1" w:after="0" w:afterAutospacing="1" w:line="480" w:lineRule="atLeast"/>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lang w:val="en-US" w:eastAsia="zh-CN" w:bidi="ar"/>
        </w:rPr>
        <w:t>8.“少数民族高层次骨干人才计划”、“退役大学生士兵专项硕士研究生招生计划”考生分别单独排名。</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八、公示网址</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1、江西师范大学商学院（</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"http://sxy.jxnu.edu.cn/"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http://sxy.jxnu.edu.cn/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2、江西师范大学MBA教育中心（</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begin"/>
      </w:r>
      <w:r>
        <w:rPr>
          <w:rFonts w:hint="eastAsia" w:ascii="微软雅黑" w:hAnsi="微软雅黑" w:eastAsia="微软雅黑" w:cs="微软雅黑"/>
          <w:b w:val="0"/>
          <w:i w:val="0"/>
          <w:caps w:val="0"/>
          <w:color w:val="3D3D3D"/>
          <w:spacing w:val="0"/>
          <w:kern w:val="0"/>
          <w:sz w:val="18"/>
          <w:szCs w:val="18"/>
          <w:u w:val="none"/>
          <w:lang w:val="en-US" w:eastAsia="zh-CN" w:bidi="ar"/>
        </w:rPr>
        <w:instrText xml:space="preserve"> HYPERLINK "http://mba.jxnu.edu.cn/" </w:instrTex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separate"/>
      </w:r>
      <w:r>
        <w:rPr>
          <w:rStyle w:val="7"/>
          <w:rFonts w:hint="eastAsia" w:ascii="仿宋" w:hAnsi="仿宋" w:eastAsia="仿宋" w:cs="仿宋"/>
          <w:b w:val="0"/>
          <w:i w:val="0"/>
          <w:caps w:val="0"/>
          <w:color w:val="3D3D3D"/>
          <w:spacing w:val="0"/>
          <w:sz w:val="24"/>
          <w:szCs w:val="24"/>
          <w:u w:val="none"/>
          <w:lang w:val="en-US"/>
        </w:rPr>
        <w:t>http://mba.jxnu.edu.cn/</w:t>
      </w:r>
      <w:r>
        <w:rPr>
          <w:rFonts w:hint="eastAsia" w:ascii="微软雅黑" w:hAnsi="微软雅黑" w:eastAsia="微软雅黑" w:cs="微软雅黑"/>
          <w:b w:val="0"/>
          <w:i w:val="0"/>
          <w:caps w:val="0"/>
          <w:color w:val="3D3D3D"/>
          <w:spacing w:val="0"/>
          <w:kern w:val="0"/>
          <w:sz w:val="18"/>
          <w:szCs w:val="18"/>
          <w:u w:val="none"/>
          <w:lang w:val="en-US" w:eastAsia="zh-CN" w:bidi="ar"/>
        </w:rPr>
        <w:fldChar w:fldCharType="end"/>
      </w:r>
      <w:r>
        <w:rPr>
          <w:rFonts w:hint="eastAsia" w:ascii="仿宋" w:hAnsi="仿宋" w:eastAsia="仿宋" w:cs="仿宋"/>
          <w:b w:val="0"/>
          <w:i w:val="0"/>
          <w:caps w:val="0"/>
          <w:color w:val="262626"/>
          <w:spacing w:val="0"/>
          <w:kern w:val="0"/>
          <w:sz w:val="24"/>
          <w:szCs w:val="24"/>
          <w:lang w:val="en-US" w:eastAsia="zh-CN" w:bidi="ar"/>
        </w:rPr>
        <w:t>）</w:t>
      </w:r>
    </w:p>
    <w:p>
      <w:pPr>
        <w:keepNext w:val="0"/>
        <w:keepLines w:val="0"/>
        <w:widowControl/>
        <w:suppressLineNumbers w:val="0"/>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九、申诉渠道</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商学院MBA教育中心：0791-88121397</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校研招办：0791-88120608</w:t>
      </w:r>
    </w:p>
    <w:p>
      <w:pPr>
        <w:keepNext w:val="0"/>
        <w:keepLines w:val="0"/>
        <w:widowControl/>
        <w:suppressLineNumbers w:val="0"/>
        <w:spacing w:before="0" w:beforeAutospacing="1" w:after="0" w:afterAutospacing="1" w:line="480" w:lineRule="atLeast"/>
        <w:ind w:left="0" w:right="0" w:firstLine="646"/>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4"/>
          <w:szCs w:val="24"/>
          <w:lang w:val="en-US" w:eastAsia="zh-CN" w:bidi="ar"/>
        </w:rPr>
        <w:t>校纪委：0791-88120026</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lang w:val="en-US" w:eastAsia="zh-CN" w:bidi="ar"/>
        </w:rPr>
        <w:t>十、本实施细则由商学院招生复试与录取工作领导小组负责解释，未尽事宜由领导小组研究确定。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38E29DB"/>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