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firstLine="0"/>
        <w:rPr>
          <w:rFonts w:ascii="微软雅黑" w:hAnsi="微软雅黑" w:eastAsia="微软雅黑" w:cs="微软雅黑"/>
          <w:b w:val="0"/>
          <w:i w:val="0"/>
          <w:caps w:val="0"/>
          <w:color w:val="262626"/>
          <w:spacing w:val="0"/>
          <w:sz w:val="21"/>
          <w:szCs w:val="21"/>
        </w:rPr>
      </w:pPr>
      <w:r>
        <w:rPr>
          <w:rStyle w:val="6"/>
          <w:rFonts w:ascii="仿宋" w:hAnsi="仿宋" w:eastAsia="仿宋" w:cs="仿宋"/>
          <w:i w:val="0"/>
          <w:caps w:val="0"/>
          <w:color w:val="262626"/>
          <w:spacing w:val="0"/>
          <w:sz w:val="28"/>
          <w:szCs w:val="28"/>
        </w:rPr>
        <w:t>一、复试录取工作领导小组</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二、各专业（方向）招生计划、复试分数线</w:t>
      </w:r>
    </w:p>
    <w:tbl>
      <w:tblPr>
        <w:tblW w:w="9029" w:type="dxa"/>
        <w:jc w:val="center"/>
        <w:tblInd w:w="-25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13"/>
        <w:gridCol w:w="1701"/>
        <w:gridCol w:w="1135"/>
        <w:gridCol w:w="1276"/>
        <w:gridCol w:w="1701"/>
        <w:gridCol w:w="200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59" w:hRule="atLeast"/>
          <w:jc w:val="center"/>
        </w:trPr>
        <w:tc>
          <w:tcPr>
            <w:tcW w:w="121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专业代码</w:t>
            </w:r>
          </w:p>
        </w:tc>
        <w:tc>
          <w:tcPr>
            <w:tcW w:w="170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专业名称</w:t>
            </w:r>
          </w:p>
        </w:tc>
        <w:tc>
          <w:tcPr>
            <w:tcW w:w="113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复试</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分数线</w:t>
            </w:r>
          </w:p>
        </w:tc>
        <w:tc>
          <w:tcPr>
            <w:tcW w:w="127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学习</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方式</w:t>
            </w:r>
          </w:p>
        </w:tc>
        <w:tc>
          <w:tcPr>
            <w:tcW w:w="170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拟招收</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名额</w:t>
            </w:r>
          </w:p>
        </w:tc>
        <w:tc>
          <w:tcPr>
            <w:tcW w:w="200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12500</w:t>
            </w:r>
          </w:p>
        </w:tc>
        <w:tc>
          <w:tcPr>
            <w:tcW w:w="170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工商管理</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w:t>
            </w:r>
            <w:r>
              <w:rPr>
                <w:rFonts w:hint="eastAsia" w:ascii="仿宋" w:hAnsi="仿宋" w:eastAsia="仿宋" w:cs="仿宋"/>
                <w:sz w:val="18"/>
                <w:szCs w:val="18"/>
                <w:lang w:val="en-US"/>
              </w:rPr>
              <w:t>A</w:t>
            </w:r>
            <w:r>
              <w:rPr>
                <w:rFonts w:hint="eastAsia" w:ascii="仿宋" w:hAnsi="仿宋" w:eastAsia="仿宋" w:cs="仿宋"/>
                <w:sz w:val="18"/>
                <w:szCs w:val="18"/>
              </w:rPr>
              <w:t>线</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全日制</w:t>
            </w:r>
          </w:p>
        </w:tc>
        <w:tc>
          <w:tcPr>
            <w:tcW w:w="170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44</w:t>
            </w:r>
          </w:p>
        </w:tc>
        <w:tc>
          <w:tcPr>
            <w:tcW w:w="200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21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12500</w:t>
            </w:r>
          </w:p>
        </w:tc>
        <w:tc>
          <w:tcPr>
            <w:tcW w:w="170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工商管理</w:t>
            </w:r>
          </w:p>
        </w:tc>
        <w:tc>
          <w:tcPr>
            <w:tcW w:w="113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w:t>
            </w:r>
            <w:r>
              <w:rPr>
                <w:rFonts w:hint="eastAsia" w:ascii="仿宋" w:hAnsi="仿宋" w:eastAsia="仿宋" w:cs="仿宋"/>
                <w:sz w:val="18"/>
                <w:szCs w:val="18"/>
                <w:lang w:val="en-US"/>
              </w:rPr>
              <w:t>A</w:t>
            </w:r>
            <w:r>
              <w:rPr>
                <w:rFonts w:hint="eastAsia" w:ascii="仿宋" w:hAnsi="仿宋" w:eastAsia="仿宋" w:cs="仿宋"/>
                <w:sz w:val="18"/>
                <w:szCs w:val="18"/>
              </w:rPr>
              <w:t>线</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非全日制</w:t>
            </w:r>
          </w:p>
        </w:tc>
        <w:tc>
          <w:tcPr>
            <w:tcW w:w="170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27</w:t>
            </w:r>
            <w:bookmarkStart w:id="0" w:name="_GoBack"/>
            <w:r>
              <w:rPr>
                <w:rFonts w:hint="eastAsia" w:ascii="仿宋" w:hAnsi="仿宋" w:eastAsia="仿宋" w:cs="仿宋"/>
                <w:color w:val="3D3D3D"/>
                <w:sz w:val="18"/>
                <w:szCs w:val="18"/>
                <w:u w:val="none"/>
                <w:lang w:val="en-US"/>
              </w:rPr>
              <w:fldChar w:fldCharType="begin"/>
            </w:r>
            <w:r>
              <w:rPr>
                <w:rFonts w:hint="eastAsia" w:ascii="仿宋" w:hAnsi="仿宋" w:eastAsia="仿宋" w:cs="仿宋"/>
                <w:color w:val="3D3D3D"/>
                <w:sz w:val="18"/>
                <w:szCs w:val="18"/>
                <w:u w:val="none"/>
                <w:lang w:val="en-US"/>
              </w:rPr>
              <w:instrText xml:space="preserve"> HYPERLINK "http://sxy.jxnu.edu.cn/s/48/t/751/df/47/info122695.htm" </w:instrText>
            </w:r>
            <w:r>
              <w:rPr>
                <w:rFonts w:hint="eastAsia" w:ascii="仿宋" w:hAnsi="仿宋" w:eastAsia="仿宋" w:cs="仿宋"/>
                <w:color w:val="3D3D3D"/>
                <w:sz w:val="18"/>
                <w:szCs w:val="18"/>
                <w:u w:val="none"/>
                <w:lang w:val="en-US"/>
              </w:rPr>
              <w:fldChar w:fldCharType="separate"/>
            </w:r>
            <w:bookmarkEnd w:id="0"/>
            <w:r>
              <w:rPr>
                <w:rFonts w:hint="eastAsia" w:ascii="仿宋" w:hAnsi="仿宋" w:eastAsia="仿宋" w:cs="仿宋"/>
                <w:color w:val="3D3D3D"/>
                <w:sz w:val="18"/>
                <w:szCs w:val="18"/>
                <w:u w:val="none"/>
                <w:lang w:val="en-US"/>
              </w:rPr>
              <w:fldChar w:fldCharType="end"/>
            </w:r>
          </w:p>
        </w:tc>
        <w:tc>
          <w:tcPr>
            <w:tcW w:w="200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 </w:t>
            </w:r>
          </w:p>
        </w:tc>
      </w:tr>
    </w:tbl>
    <w:p>
      <w:pPr>
        <w:pStyle w:val="3"/>
        <w:keepNext w:val="0"/>
        <w:keepLines w:val="0"/>
        <w:widowControl/>
        <w:suppressLineNumbers w:val="0"/>
        <w:ind w:left="0" w:firstLine="0"/>
        <w:jc w:val="both"/>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8"/>
          <w:szCs w:val="28"/>
        </w:rPr>
        <w:t>三、复试内容</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1. 政治理论测试（50分）</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政治理论着重考察考生运用马克思主义理论分析问题、解决问题的能力，考核形式为笔试，考试时间由各招生单位确定。</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2.外语听力和口语水平测试（30分，其中听力15分、口语15分）</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外语听力和口语水平测试主要测试考生的听力理解能力和运用英语知识与技能进行口头交际的能力。形式主要为英文文献阅读，现场抽题、考生朗读并回答问题，英文对话等。具体考核形式考试时间由各招生单位确定。</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3.综合素质面试（100分）</w:t>
      </w:r>
    </w:p>
    <w:p>
      <w:pPr>
        <w:keepNext w:val="0"/>
        <w:keepLines w:val="0"/>
        <w:widowControl/>
        <w:suppressLineNumbers w:val="0"/>
        <w:spacing w:before="0" w:beforeAutospacing="1" w:after="0" w:afterAutospacing="1"/>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面试主要考核考生的专业基础知识、创新意识与能力、心理健康状况及综合素质等。面试采取抽取题签回答问题的形式，如面试教师认为有必要，可补充提问。</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四、复试日程安排</w:t>
      </w:r>
    </w:p>
    <w:tbl>
      <w:tblPr>
        <w:tblW w:w="889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23"/>
        <w:gridCol w:w="2239"/>
        <w:gridCol w:w="1896"/>
        <w:gridCol w:w="1549"/>
        <w:gridCol w:w="23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序号</w:t>
            </w:r>
          </w:p>
        </w:tc>
        <w:tc>
          <w:tcPr>
            <w:tcW w:w="223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项目</w:t>
            </w:r>
          </w:p>
        </w:tc>
        <w:tc>
          <w:tcPr>
            <w:tcW w:w="189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时间</w:t>
            </w:r>
          </w:p>
        </w:tc>
        <w:tc>
          <w:tcPr>
            <w:tcW w:w="154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地点</w:t>
            </w:r>
          </w:p>
        </w:tc>
        <w:tc>
          <w:tcPr>
            <w:tcW w:w="23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w:t>
            </w: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报到、资格审查</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3月30日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（7:15—8:50）</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w:t>
            </w:r>
          </w:p>
        </w:tc>
        <w:tc>
          <w:tcPr>
            <w:tcW w:w="23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须携带身份证、学历（学籍）在线验证报告、政审表等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2</w:t>
            </w: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体检</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3月30日（7:00-8:50）</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校医院</w:t>
            </w:r>
          </w:p>
        </w:tc>
        <w:tc>
          <w:tcPr>
            <w:tcW w:w="23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身份证、一寸近期免冠照片2张等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29" w:hRule="atLeast"/>
        </w:trPr>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w:t>
            </w: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外语听力（30分钟）</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与政治理论测试</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3月30日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（9：00-9：30；9:40-11：10）</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商学院三楼</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学术报告厅</w:t>
            </w:r>
          </w:p>
        </w:tc>
        <w:tc>
          <w:tcPr>
            <w:tcW w:w="23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准标准化全程摄像监控留底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988" w:hRule="atLeast"/>
        </w:trPr>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w:t>
            </w: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综合素质面试</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与外语口语测试</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3月30日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（13：00-19:00）</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惟义楼教室（6个）</w:t>
            </w:r>
          </w:p>
        </w:tc>
        <w:tc>
          <w:tcPr>
            <w:tcW w:w="23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标准化考场</w:t>
            </w:r>
          </w:p>
        </w:tc>
      </w:tr>
    </w:tbl>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kern w:val="0"/>
          <w:sz w:val="21"/>
          <w:szCs w:val="21"/>
          <w:lang w:val="en-US" w:eastAsia="zh-CN" w:bidi="ar"/>
        </w:rPr>
        <w:t> </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五、总成绩计算</w:t>
      </w:r>
    </w:p>
    <w:p>
      <w:pPr>
        <w:keepNext w:val="0"/>
        <w:keepLines w:val="0"/>
        <w:widowControl/>
        <w:suppressLineNumbers w:val="0"/>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总成绩=初试成绩+复试成绩</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六、拟录取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1.</w:t>
      </w:r>
      <w:r>
        <w:rPr>
          <w:rFonts w:hint="eastAsia" w:ascii="仿宋" w:hAnsi="仿宋" w:eastAsia="仿宋" w:cs="仿宋"/>
          <w:b w:val="0"/>
          <w:i w:val="0"/>
          <w:caps w:val="0"/>
          <w:color w:val="262626"/>
          <w:spacing w:val="0"/>
          <w:sz w:val="28"/>
          <w:szCs w:val="28"/>
        </w:rPr>
        <w:t>未经复试的考生一律不得录取；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2.</w:t>
      </w:r>
      <w:r>
        <w:rPr>
          <w:rFonts w:hint="eastAsia" w:ascii="仿宋" w:hAnsi="仿宋" w:eastAsia="仿宋" w:cs="仿宋"/>
          <w:b w:val="0"/>
          <w:i w:val="0"/>
          <w:caps w:val="0"/>
          <w:color w:val="262626"/>
          <w:spacing w:val="0"/>
          <w:sz w:val="28"/>
          <w:szCs w:val="28"/>
        </w:rPr>
        <w:t>复试期间若发现考生提供虚假信息、不符合报考条件、考试违纪舞弊、身体及思想政治道德状况不符合录取要求的，一律不予录取；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3.</w:t>
      </w:r>
      <w:r>
        <w:rPr>
          <w:rFonts w:hint="eastAsia" w:ascii="仿宋" w:hAnsi="仿宋" w:eastAsia="仿宋" w:cs="仿宋"/>
          <w:b w:val="0"/>
          <w:i w:val="0"/>
          <w:caps w:val="0"/>
          <w:color w:val="262626"/>
          <w:spacing w:val="0"/>
          <w:sz w:val="28"/>
          <w:szCs w:val="28"/>
        </w:rPr>
        <w:t>复试总成绩不合格（低于</w:t>
      </w:r>
      <w:r>
        <w:rPr>
          <w:rFonts w:hint="eastAsia" w:ascii="仿宋" w:hAnsi="仿宋" w:eastAsia="仿宋" w:cs="仿宋"/>
          <w:b w:val="0"/>
          <w:i w:val="0"/>
          <w:caps w:val="0"/>
          <w:color w:val="262626"/>
          <w:spacing w:val="0"/>
          <w:sz w:val="28"/>
          <w:szCs w:val="28"/>
          <w:lang w:val="en-US"/>
        </w:rPr>
        <w:t>108</w:t>
      </w:r>
      <w:r>
        <w:rPr>
          <w:rFonts w:hint="eastAsia" w:ascii="仿宋" w:hAnsi="仿宋" w:eastAsia="仿宋" w:cs="仿宋"/>
          <w:b w:val="0"/>
          <w:i w:val="0"/>
          <w:caps w:val="0"/>
          <w:color w:val="262626"/>
          <w:spacing w:val="0"/>
          <w:sz w:val="28"/>
          <w:szCs w:val="28"/>
        </w:rPr>
        <w:t>分），或任一科目考试成绩为零分的，原则上不予录取。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4.</w:t>
      </w:r>
      <w:r>
        <w:rPr>
          <w:rFonts w:hint="eastAsia" w:ascii="仿宋" w:hAnsi="仿宋" w:eastAsia="仿宋" w:cs="仿宋"/>
          <w:b w:val="0"/>
          <w:i w:val="0"/>
          <w:caps w:val="0"/>
          <w:color w:val="262626"/>
          <w:spacing w:val="0"/>
          <w:sz w:val="28"/>
          <w:szCs w:val="28"/>
        </w:rPr>
        <w:t>复试总成绩与初试总成绩相加为考生总成绩。录取时按照考生总成绩排序，依次录取。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5.</w:t>
      </w:r>
      <w:r>
        <w:rPr>
          <w:rFonts w:hint="eastAsia" w:ascii="仿宋" w:hAnsi="仿宋" w:eastAsia="仿宋" w:cs="仿宋"/>
          <w:b w:val="0"/>
          <w:i w:val="0"/>
          <w:caps w:val="0"/>
          <w:color w:val="262626"/>
          <w:spacing w:val="0"/>
          <w:sz w:val="28"/>
          <w:szCs w:val="28"/>
        </w:rPr>
        <w:t>调剂考生须在复试结果公布后按研招办要求及时办理有关调剂录取手续，否则将取消拟录取资格。</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6.</w:t>
      </w:r>
      <w:r>
        <w:rPr>
          <w:rFonts w:hint="eastAsia" w:ascii="仿宋" w:hAnsi="仿宋" w:eastAsia="仿宋" w:cs="仿宋"/>
          <w:b w:val="0"/>
          <w:i w:val="0"/>
          <w:caps w:val="0"/>
          <w:color w:val="262626"/>
          <w:spacing w:val="0"/>
          <w:sz w:val="28"/>
          <w:szCs w:val="28"/>
        </w:rPr>
        <w:t>一志愿考生、调剂生分别单独排名录取。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7.</w:t>
      </w:r>
      <w:r>
        <w:rPr>
          <w:rFonts w:hint="eastAsia" w:ascii="仿宋" w:hAnsi="仿宋" w:eastAsia="仿宋" w:cs="仿宋"/>
          <w:b w:val="0"/>
          <w:i w:val="0"/>
          <w:caps w:val="0"/>
          <w:color w:val="262626"/>
          <w:spacing w:val="0"/>
          <w:sz w:val="28"/>
          <w:szCs w:val="28"/>
        </w:rPr>
        <w:t>同一专业全日制与非全日制考生分开排名录取。</w:t>
      </w:r>
    </w:p>
    <w:p>
      <w:pPr>
        <w:keepNext w:val="0"/>
        <w:keepLines w:val="0"/>
        <w:widowControl/>
        <w:suppressLineNumbers w:val="0"/>
        <w:spacing w:before="0" w:beforeAutospacing="1" w:after="0" w:afterAutospacing="1" w:line="480"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8.“少数民族高层次骨干人才计划”、“退役大学生士兵专项硕士研究生招生计划”考生分别单独排名。</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七、公示网址</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1、江西师范大学商学院（</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3D3D3D"/>
          <w:spacing w:val="0"/>
          <w:kern w:val="0"/>
          <w:sz w:val="18"/>
          <w:szCs w:val="18"/>
          <w:u w:val="none"/>
          <w:lang w:val="en-US" w:eastAsia="zh-CN" w:bidi="ar"/>
        </w:rPr>
        <w:instrText xml:space="preserve"> HYPERLINK "http://sxy.jxnu.edu.cn/" </w:instrTex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separate"/>
      </w:r>
      <w:r>
        <w:rPr>
          <w:rStyle w:val="7"/>
          <w:rFonts w:hint="eastAsia" w:ascii="仿宋" w:hAnsi="仿宋" w:eastAsia="仿宋" w:cs="仿宋"/>
          <w:b w:val="0"/>
          <w:i w:val="0"/>
          <w:caps w:val="0"/>
          <w:color w:val="3D3D3D"/>
          <w:spacing w:val="0"/>
          <w:sz w:val="24"/>
          <w:szCs w:val="24"/>
          <w:u w:val="none"/>
          <w:lang w:val="en-US"/>
        </w:rPr>
        <w:t>http://sxy.jxnu.edu.cn/</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end"/>
      </w:r>
      <w:r>
        <w:rPr>
          <w:rFonts w:hint="eastAsia" w:ascii="仿宋" w:hAnsi="仿宋" w:eastAsia="仿宋" w:cs="仿宋"/>
          <w:b w:val="0"/>
          <w:i w:val="0"/>
          <w:caps w:val="0"/>
          <w:color w:val="262626"/>
          <w:spacing w:val="0"/>
          <w:kern w:val="0"/>
          <w:sz w:val="24"/>
          <w:szCs w:val="24"/>
          <w:lang w:val="en-US" w:eastAsia="zh-CN" w:bidi="ar"/>
        </w:rPr>
        <w:t>）；</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2、江西师范大学MBA教育中心（</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3D3D3D"/>
          <w:spacing w:val="0"/>
          <w:kern w:val="0"/>
          <w:sz w:val="18"/>
          <w:szCs w:val="18"/>
          <w:u w:val="none"/>
          <w:lang w:val="en-US" w:eastAsia="zh-CN" w:bidi="ar"/>
        </w:rPr>
        <w:instrText xml:space="preserve"> HYPERLINK "http://mba.jxnu.edu.cn/" </w:instrTex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separate"/>
      </w:r>
      <w:r>
        <w:rPr>
          <w:rStyle w:val="7"/>
          <w:rFonts w:hint="eastAsia" w:ascii="仿宋" w:hAnsi="仿宋" w:eastAsia="仿宋" w:cs="仿宋"/>
          <w:b w:val="0"/>
          <w:i w:val="0"/>
          <w:caps w:val="0"/>
          <w:color w:val="3D3D3D"/>
          <w:spacing w:val="0"/>
          <w:sz w:val="24"/>
          <w:szCs w:val="24"/>
          <w:u w:val="none"/>
          <w:lang w:val="en-US"/>
        </w:rPr>
        <w:t>http://mba.jxnu.edu.cn/</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end"/>
      </w:r>
      <w:r>
        <w:rPr>
          <w:rFonts w:hint="eastAsia" w:ascii="仿宋" w:hAnsi="仿宋" w:eastAsia="仿宋" w:cs="仿宋"/>
          <w:b w:val="0"/>
          <w:i w:val="0"/>
          <w:caps w:val="0"/>
          <w:color w:val="262626"/>
          <w:spacing w:val="0"/>
          <w:kern w:val="0"/>
          <w:sz w:val="24"/>
          <w:szCs w:val="24"/>
          <w:lang w:val="en-US" w:eastAsia="zh-CN" w:bidi="ar"/>
        </w:rPr>
        <w:t>）</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八、申诉渠道</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商学院MBA教育中心：0791-88121397</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校研招办：0791-88120608</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校纪委：0791-88120026</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九、本实施细则由商学院招生复试与录取工作领导小组负责解释，未尽事宜由领导小组研究确定。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15F3B6B"/>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2019-04-24T02:16:39Z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