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号）精神，在《华东师范大学</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年硕士研究生招生复试工作办法》的具体指导下，结合我院研究生招生工作的具体情况，特制订本办法。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、我院成立</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领导小组，加强对复试工作的组织协调和统筹管理。做到组织健全，分工合理，责任明确；科学合理设计复试工作程序和办法，精心组织实施，严格执行操作，使复试工作过程有章可循，规范有序。加强对复试工作的监督检查，严格执行责任制度和责任追究制度，确保复试过程的公平公正，切实维护广大考生的权益。</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、接受本校研究生招生工作领导小组的领导和统筹管理，接受研究生招生复试巡查组的监督、监查。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、在不低于全国初试成绩基本要求的基础上，我院各专业根据专业特点和统考招生计划、报考生源等情况确定各专业相关复试分数线。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、我院各专业的复试分数线经学校审定后由研究生院统一公布。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、我院各专业不进行破格复试。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复试过程中主要对考生进行以下几方面的考核：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分），笔试形式。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（三）学习能力、创新能力、动手能力、灵活运用知识能力、口头与书面语言表达能力等综合技能考查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四）在复试中，还将参考考生在高校期间的学习成绩、英语能力证明（雅思或托福）、课外的学习、科研、社会实践（学生工作、社团活动、志愿行为、公益服务等）或实际工作表现等方面的情况的表述资料、业绩记载、奖项证书等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过程中还应对考生的品德修养进行考核：由亚欧商学院党组织组织实施，包括复试和后续政审两个阶段的考核。主要从专业操守，职业伦理，个人素养，相关法律法规，社会主义核心价值观进行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亚欧商学院一志愿考生根据初试复试总成绩（初复试总成绩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六、复试日期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亚欧商学院统一复试时间为在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27</w:t>
      </w:r>
      <w:r>
        <w:rPr>
          <w:rFonts w:hint="eastAsia" w:ascii="宋体" w:hAnsi="宋体" w:eastAsia="宋体" w:cs="宋体"/>
          <w:b w:val="0"/>
          <w:i w:val="0"/>
          <w:caps w:val="0"/>
          <w:color w:val="000000"/>
          <w:spacing w:val="0"/>
          <w:kern w:val="0"/>
          <w:sz w:val="24"/>
          <w:szCs w:val="24"/>
          <w:shd w:val="clear" w:fill="FFFFFF"/>
          <w:lang w:val="en-US" w:eastAsia="zh-CN" w:bidi="ar"/>
        </w:rPr>
        <w:t>至</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28</w:t>
      </w:r>
      <w:r>
        <w:rPr>
          <w:rFonts w:hint="eastAsia" w:ascii="宋体" w:hAnsi="宋体" w:eastAsia="宋体" w:cs="宋体"/>
          <w:b w:val="0"/>
          <w:i w:val="0"/>
          <w:caps w:val="0"/>
          <w:color w:val="000000"/>
          <w:spacing w:val="0"/>
          <w:kern w:val="0"/>
          <w:sz w:val="24"/>
          <w:szCs w:val="24"/>
          <w:shd w:val="clear" w:fill="FFFFFF"/>
          <w:lang w:val="en-US" w:eastAsia="zh-CN" w:bidi="ar"/>
        </w:rPr>
        <w:t>日，具体日期以复试通知书为准。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复试地点：上海市闵行区谈家塘路</w:t>
      </w:r>
      <w:r>
        <w:rPr>
          <w:rFonts w:hint="default" w:ascii="Calibri" w:hAnsi="Calibri" w:cs="Calibri" w:eastAsiaTheme="minorEastAsia"/>
          <w:b w:val="0"/>
          <w:i w:val="0"/>
          <w:caps w:val="0"/>
          <w:color w:val="000000"/>
          <w:spacing w:val="0"/>
          <w:kern w:val="0"/>
          <w:sz w:val="24"/>
          <w:szCs w:val="24"/>
          <w:shd w:val="clear" w:fill="FFFFFF"/>
          <w:lang w:val="en-US" w:eastAsia="zh-CN" w:bidi="ar"/>
        </w:rPr>
        <w:t>155</w:t>
      </w:r>
      <w:r>
        <w:rPr>
          <w:rFonts w:hint="eastAsia" w:ascii="宋体" w:hAnsi="宋体" w:eastAsia="宋体" w:cs="宋体"/>
          <w:b w:val="0"/>
          <w:i w:val="0"/>
          <w:caps w:val="0"/>
          <w:color w:val="000000"/>
          <w:spacing w:val="0"/>
          <w:kern w:val="0"/>
          <w:sz w:val="24"/>
          <w:szCs w:val="24"/>
          <w:shd w:val="clear" w:fill="FFFFFF"/>
          <w:lang w:val="en-US" w:eastAsia="zh-CN" w:bidi="ar"/>
        </w:rPr>
        <w:t>号紫竹国际教育园区</w:t>
      </w:r>
      <w:r>
        <w:rPr>
          <w:rFonts w:hint="default" w:ascii="Calibri" w:hAnsi="Calibri" w:cs="Calibri" w:eastAsiaTheme="minorEastAsia"/>
          <w:b w:val="0"/>
          <w:i w:val="0"/>
          <w:caps w:val="0"/>
          <w:color w:val="000000"/>
          <w:spacing w:val="0"/>
          <w:kern w:val="0"/>
          <w:sz w:val="24"/>
          <w:szCs w:val="24"/>
          <w:shd w:val="clear" w:fill="FFFFFF"/>
          <w:lang w:val="en-US" w:eastAsia="zh-CN" w:bidi="ar"/>
        </w:rPr>
        <w:t>A1</w:t>
      </w:r>
      <w:r>
        <w:rPr>
          <w:rFonts w:hint="eastAsia" w:ascii="宋体" w:hAnsi="宋体" w:eastAsia="宋体" w:cs="宋体"/>
          <w:b w:val="0"/>
          <w:i w:val="0"/>
          <w:caps w:val="0"/>
          <w:color w:val="000000"/>
          <w:spacing w:val="0"/>
          <w:kern w:val="0"/>
          <w:sz w:val="24"/>
          <w:szCs w:val="24"/>
          <w:shd w:val="clear" w:fill="FFFFFF"/>
          <w:lang w:val="en-US" w:eastAsia="zh-CN" w:bidi="ar"/>
        </w:rPr>
        <w:t>号楼华东师范大学亚欧商学院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复试日程安排请详见亚欧商学院复试通知书，通知书将于</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22</w:t>
      </w:r>
      <w:r>
        <w:rPr>
          <w:rFonts w:hint="eastAsia" w:ascii="宋体" w:hAnsi="宋体" w:eastAsia="宋体" w:cs="宋体"/>
          <w:b w:val="0"/>
          <w:i w:val="0"/>
          <w:caps w:val="0"/>
          <w:color w:val="000000"/>
          <w:spacing w:val="0"/>
          <w:kern w:val="0"/>
          <w:sz w:val="24"/>
          <w:szCs w:val="24"/>
          <w:shd w:val="clear" w:fill="FFFFFF"/>
          <w:lang w:val="en-US" w:eastAsia="zh-CN" w:bidi="ar"/>
        </w:rPr>
        <w:t>日前发至每位复试考生邮箱。</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考生报到当天须进行资格审查。资格审查未通过或未进行资格审查的考生一律不得参加复试。资格审查时请考生提交以下材料（复印件概不退还）：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spacing w:before="0" w:beforeAutospacing="0" w:after="0" w:afterAutospacing="0" w:line="293"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对弄虚作假及考试违规、作弊的考生，不予录取。考生取得拟录取资格后，被查出在初试和复试中有弄虚作假、违纪作弊等行为的，随时取消录取和入学资格，取得学籍者则取消学籍。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我院不接收调剂复试。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今年我校招生体检跟新生入学体检合并。即在新生报到后的三个月新生复查期间进行体检。体检不合格的再依据相关规定取消入学资格或者进行其他学籍处理。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我校体检标准参照《教育部、卫生部、中国残疾人联合会关于印发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号）两个文件执行，请参加我校复试的考生仔细自己身体状况比对，如有不符合情况及时提出咨询，以免到新生入学体检检查出问题被取消入学资格。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十、信息公开与社会监督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学校按规定对复试办法、招生计划、复试名单、录取名单等重要信息进行公开和公示，接受社会监督。</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FF"/>
          <w:spacing w:val="0"/>
          <w:kern w:val="0"/>
          <w:sz w:val="24"/>
          <w:szCs w:val="24"/>
          <w:shd w:val="clear" w:fill="FFFFFF"/>
          <w:lang w:val="en-US" w:eastAsia="zh-CN" w:bidi="ar"/>
        </w:rPr>
        <w:t>jwjc@admin.ecnu.edu.cn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亚欧商学院联系方式，电话：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021-61911353</w:t>
      </w:r>
      <w:r>
        <w:rPr>
          <w:rFonts w:hint="eastAsia" w:ascii="宋体" w:hAnsi="宋体" w:eastAsia="宋体" w:cs="宋体"/>
          <w:b w:val="0"/>
          <w:i w:val="0"/>
          <w:caps w:val="0"/>
          <w:color w:val="000000"/>
          <w:spacing w:val="0"/>
          <w:kern w:val="0"/>
          <w:sz w:val="24"/>
          <w:szCs w:val="24"/>
          <w:shd w:val="clear" w:fill="FFFFFF"/>
          <w:lang w:val="en-US" w:eastAsia="zh-CN" w:bidi="ar"/>
        </w:rPr>
        <w:t>，邮箱：</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"mailto:academicoffice@aebs.ecnu.edu.cn"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default" w:ascii="Calibri" w:hAnsi="Calibri" w:cs="Calibri"/>
          <w:b w:val="0"/>
          <w:i w:val="0"/>
          <w:caps w:val="0"/>
          <w:color w:val="0000FF"/>
          <w:spacing w:val="0"/>
          <w:sz w:val="24"/>
          <w:szCs w:val="24"/>
          <w:shd w:val="clear" w:fill="FFFFFF"/>
          <w:lang w:val="en-US"/>
        </w:rPr>
        <w:t>academicoffice@aebs.ecnu.edu.cn</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5CF5E69"/>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2019-04-18T02:12:48Z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