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color="auto" w:fill="499494"/>
        <w:tblLayout w:type="fixed"/>
        <w:tblCellMar>
          <w:top w:w="0" w:type="dxa"/>
          <w:left w:w="0" w:type="dxa"/>
          <w:bottom w:w="0" w:type="dxa"/>
          <w:right w:w="0" w:type="dxa"/>
        </w:tblCellMar>
      </w:tblPr>
      <w:tblGrid>
        <w:gridCol w:w="2076"/>
        <w:gridCol w:w="2076"/>
        <w:gridCol w:w="2077"/>
        <w:gridCol w:w="2077"/>
      </w:tblGrid>
      <w:tr>
        <w:tblPrEx>
          <w:shd w:val="clear" w:color="auto" w:fill="499494"/>
          <w:tblLayout w:type="fixed"/>
          <w:tblCellMar>
            <w:top w:w="0" w:type="dxa"/>
            <w:left w:w="0" w:type="dxa"/>
            <w:bottom w:w="0" w:type="dxa"/>
            <w:right w:w="0" w:type="dxa"/>
          </w:tblCellMar>
        </w:tblPrEx>
        <w:trPr>
          <w:tblCellSpacing w:w="0" w:type="dxa"/>
          <w:jc w:val="center"/>
        </w:trPr>
        <w:tc>
          <w:tcPr>
            <w:tcW w:w="8306" w:type="dxa"/>
            <w:gridSpan w:val="4"/>
            <w:shd w:val="clear" w:color="auto" w:fill="FFFFFF"/>
            <w:vAlign w:val="top"/>
          </w:tcPr>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根据《教育部办公厅关于进一步规范和加强研究生考试招生工作的通知》（教学厅[2019]2号）和《教育部关于印发〈2019年全国硕士研究生招生工作管理规定〉的通知》（教学〔2018〕5号）精神，结合我校研究生招生工作的具体情况，特制订本办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一、工作原则</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二、组织管理</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20"/>
              <w:jc w:val="left"/>
            </w:pPr>
            <w:r>
              <w:rPr>
                <w:rFonts w:hint="eastAsia" w:ascii="宋体" w:hAnsi="宋体" w:eastAsia="宋体" w:cs="宋体"/>
                <w:caps w:val="0"/>
                <w:color w:val="000000"/>
                <w:spacing w:val="0"/>
                <w:kern w:val="0"/>
                <w:sz w:val="24"/>
                <w:szCs w:val="24"/>
                <w:lang w:val="en-US" w:eastAsia="zh-CN" w:bidi="ar"/>
              </w:rPr>
              <w:t>1、学校成立研究生招生工作领导小组，负责对全校复试工作的领导和统筹管理。</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20"/>
              <w:jc w:val="left"/>
            </w:pPr>
            <w:r>
              <w:rPr>
                <w:rFonts w:hint="eastAsia" w:ascii="宋体" w:hAnsi="宋体" w:eastAsia="宋体" w:cs="宋体"/>
                <w:caps w:val="0"/>
                <w:color w:val="000000"/>
                <w:spacing w:val="0"/>
                <w:kern w:val="0"/>
                <w:sz w:val="24"/>
                <w:szCs w:val="24"/>
                <w:lang w:val="en-US" w:eastAsia="zh-CN" w:bidi="ar"/>
              </w:rPr>
              <w:t>2、学校成立研究生招生复试巡查组，由招生工作领导小组、纪委监察处、校研究生教育督导组和研究生院对复试进行全面监督、监查。</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20"/>
              <w:jc w:val="left"/>
            </w:pPr>
            <w:r>
              <w:rPr>
                <w:rFonts w:hint="eastAsia" w:ascii="宋体" w:hAnsi="宋体" w:eastAsia="宋体" w:cs="宋体"/>
                <w:caps w:val="0"/>
                <w:color w:val="000000"/>
                <w:spacing w:val="0"/>
                <w:kern w:val="0"/>
                <w:sz w:val="24"/>
                <w:szCs w:val="24"/>
                <w:lang w:val="en-US" w:eastAsia="zh-CN" w:bidi="ar"/>
              </w:rPr>
              <w:t>3、教师教育学院成立研究生招生工作小组，加强对复试工作的组织协调和统筹管理。根据学校复试工作办法制订本单位的复试方案并组织实施，指导各复试小组进行相应考核工作。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三、复试名单确定</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在不低于全国初试成绩基本要求的基础上，我院根据本学科、专业特点和统考招生计划、报考生源等情况确定本单位各专业或研究方向相关复试分数线。达到我院复试分数线的考生全部参加复试，择优录取。教师教育学院的复试分数线详见链接：https://yjszs.ecnu.edu.cn/system/ssfsfsx_list_yxs_detail.asp?id=161</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我院各专业不进行破格复试。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我校“少数民族高层次骨干人才计划”和“大学生士兵计划”，根据我校2019年硕士招生简章规定原则确定复试名单。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四、复试时间、地点、形式和内容</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xml:space="preserve">复试时间：2019年3月23日—3月24日 </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复试报到时间：3月23日上午9:00-11:00</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复试报到地点：上海市中山北路3663号华东师大教师教育学院楼（原研究生院楼）一楼。</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复试形式及内容：笔试与面试相结合的形式，3月23日下午笔试，3月24日全天面试。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五、资格审查与诚信考查</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在复试前请考生到各院系进行资格审查。</w:t>
            </w:r>
            <w:r>
              <w:rPr>
                <w:rStyle w:val="6"/>
                <w:rFonts w:hint="eastAsia" w:ascii="宋体" w:hAnsi="宋体" w:eastAsia="宋体" w:cs="宋体"/>
                <w:caps w:val="0"/>
                <w:color w:val="000000"/>
                <w:spacing w:val="0"/>
                <w:kern w:val="0"/>
                <w:sz w:val="24"/>
                <w:szCs w:val="24"/>
                <w:lang w:val="en-US" w:eastAsia="zh-CN" w:bidi="ar"/>
              </w:rPr>
              <w:t>资格审查未通过或未进行资格审查的考生一律不得参加复试。</w:t>
            </w:r>
            <w:r>
              <w:rPr>
                <w:rFonts w:hint="eastAsia" w:ascii="宋体" w:hAnsi="宋体" w:eastAsia="宋体" w:cs="宋体"/>
                <w:caps w:val="0"/>
                <w:color w:val="000000"/>
                <w:spacing w:val="0"/>
                <w:kern w:val="0"/>
                <w:sz w:val="24"/>
                <w:szCs w:val="24"/>
                <w:lang w:val="en-US" w:eastAsia="zh-CN" w:bidi="ar"/>
              </w:rPr>
              <w:t>考生需提交的材料（复印件留存）：</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1、有效的第二代居民身份证件原件及复印件（少数民族考生身份以报考时查验的身份证为准，复试时不得更改）；</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2、毕业证（应届生需提供完整注册的学生证）、学位证书原件及复印件；</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3、初试准考证（如丢失请于3月1日-4月30日登录中国研招网系统打印）；</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6、本科学习成绩单（应届生由所在学校教务部门加盖公章，非应届生由考生档案所在单位提供并加盖公章）；</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7、科研成果以及证明自己研究潜能的相关材料。</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8、同等学力考生（大专毕业和本科结业）还需提供大专毕业证书原件及复印件、英语四级水平证书原件及复印件（或相当于大学英语四级水平的其他语种）和8门本科的专业必修课程考试合格的成绩单。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六、复试内容与成绩计算</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复试主要对考生进行以下三方面的考核（满分500分）：</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360"/>
              <w:jc w:val="left"/>
            </w:pPr>
            <w:r>
              <w:rPr>
                <w:rFonts w:hint="eastAsia" w:ascii="宋体" w:hAnsi="宋体" w:eastAsia="宋体" w:cs="宋体"/>
                <w:caps w:val="0"/>
                <w:color w:val="000000"/>
                <w:spacing w:val="0"/>
                <w:kern w:val="0"/>
                <w:sz w:val="24"/>
                <w:szCs w:val="24"/>
                <w:lang w:val="en-US" w:eastAsia="zh-CN" w:bidi="ar"/>
              </w:rPr>
              <w:t>（一）专业知识考核40%（200分），考试时间2个半小时，以笔试形式进行。</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360"/>
              <w:jc w:val="left"/>
            </w:pPr>
            <w:r>
              <w:rPr>
                <w:rFonts w:hint="eastAsia" w:ascii="宋体" w:hAnsi="宋体" w:eastAsia="宋体" w:cs="宋体"/>
                <w:caps w:val="0"/>
                <w:color w:val="000000"/>
                <w:spacing w:val="0"/>
                <w:kern w:val="0"/>
                <w:sz w:val="24"/>
                <w:szCs w:val="24"/>
                <w:lang w:val="en-US" w:eastAsia="zh-CN" w:bidi="ar"/>
              </w:rPr>
              <w:t>（二）外语口语与听力考核20%（100分），在面试时进行测试。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360"/>
              <w:jc w:val="left"/>
            </w:pPr>
            <w:r>
              <w:rPr>
                <w:rFonts w:hint="eastAsia" w:ascii="宋体" w:hAnsi="宋体" w:eastAsia="宋体" w:cs="宋体"/>
                <w:caps w:val="0"/>
                <w:color w:val="000000"/>
                <w:spacing w:val="0"/>
                <w:kern w:val="0"/>
                <w:sz w:val="24"/>
                <w:szCs w:val="24"/>
                <w:lang w:val="en-US" w:eastAsia="zh-CN" w:bidi="ar"/>
              </w:rPr>
              <w:t>（三）学习能力、创新能力、动手能力、灵活运用知识能力、口头与书面表达能力等综合素质考查40%（200分）。</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七、调剂复试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我院不接受调剂复试。</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八、复试结果与拟录取名单确定</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我校一志愿考生根据初试复试总成绩（初复试总成绩=初试成绩×0.6+复试成绩×0.4）进行排序后从高到低确定拟录取名单，非全日制和全日制考生按照学习形式分别排序。</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复试总成绩大于等于300分为复试合格，低于300分为复试不合格，复试不合格者不予录取。</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360"/>
              <w:jc w:val="left"/>
            </w:pPr>
            <w:r>
              <w:rPr>
                <w:rFonts w:hint="eastAsia" w:ascii="宋体" w:hAnsi="宋体" w:eastAsia="宋体" w:cs="宋体"/>
                <w:caps w:val="0"/>
                <w:color w:val="000000"/>
                <w:spacing w:val="0"/>
                <w:kern w:val="0"/>
                <w:sz w:val="24"/>
                <w:szCs w:val="24"/>
                <w:lang w:val="en-US" w:eastAsia="zh-CN" w:bidi="ar"/>
              </w:rPr>
              <w:t>“少数民族高层次骨干计划”考生和“大学生士兵计划”按照1:1确定复试名单，复试合格即拟录取。</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九、招生体检</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十、其他</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1、加试：同等学力考生和以成人高等学历教育应届本科毕业生身份报考的考生，及复试时不能提交本科毕业证书的但可在2019年9月1日前拿到本科毕业证书的自学考试和网络教育考生，复试时还须加试两门本专业本科主干课程。加试科目与初试科目不同。形式为笔试，时间3小时，试卷满分为100分。有一门加试科目不及格者（60分以下）不予录取。加试成绩不计入复试成绩。</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2、定向培养研究生考生需签订培养合同书。</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3、复试阶段及取得拟录取资格后，一旦查证考生学籍学历信息与复试时确认的不一致的，或被查出在初试和复试中有弄虚作假、违纪作弊等行为的，不予录取或取消入学资格；入学后取得学籍者则取消学籍。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jc w:val="left"/>
            </w:pPr>
            <w:r>
              <w:rPr>
                <w:rStyle w:val="6"/>
                <w:rFonts w:hint="eastAsia" w:ascii="宋体" w:hAnsi="宋体" w:eastAsia="宋体" w:cs="宋体"/>
                <w:caps w:val="0"/>
                <w:color w:val="000000"/>
                <w:spacing w:val="0"/>
                <w:kern w:val="0"/>
                <w:sz w:val="24"/>
                <w:szCs w:val="24"/>
                <w:lang w:val="en-US" w:eastAsia="zh-CN" w:bidi="ar"/>
              </w:rPr>
              <w:t>十一、信息公开</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教师教育学院联系方式：</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全日制教育硕士各专业，卜老师，电话：021-62233320，电子信箱：bufengfei@163.com</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课程与教学论专业，王老师，电话021-62231327，电子信箱：cqwang@dedu.ecnu.edu.cn</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 </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复试录取工作投诉、申诉和监督联系方式：</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研究生招生办，电话：021-54344721，电子信箱：yjszx@admin.ecnu.edu.cn</w:t>
            </w:r>
          </w:p>
          <w:p>
            <w:pPr>
              <w:pStyle w:val="2"/>
              <w:keepNext w:val="0"/>
              <w:keepLines w:val="0"/>
              <w:widowControl/>
              <w:suppressLineNumbers w:val="0"/>
              <w:wordWrap w:val="0"/>
            </w:pPr>
          </w:p>
          <w:p>
            <w:pPr>
              <w:keepNext w:val="0"/>
              <w:keepLines w:val="0"/>
              <w:widowControl/>
              <w:suppressLineNumbers w:val="0"/>
              <w:wordWrap w:val="0"/>
              <w:spacing w:before="0" w:beforeAutospacing="0" w:after="0" w:afterAutospacing="0" w:line="224" w:lineRule="atLeast"/>
              <w:ind w:left="0" w:right="0" w:firstLine="480"/>
              <w:jc w:val="left"/>
            </w:pPr>
            <w:r>
              <w:rPr>
                <w:rFonts w:hint="eastAsia" w:ascii="宋体" w:hAnsi="宋体" w:eastAsia="宋体" w:cs="宋体"/>
                <w:caps w:val="0"/>
                <w:color w:val="000000"/>
                <w:spacing w:val="0"/>
                <w:kern w:val="0"/>
                <w:sz w:val="24"/>
                <w:szCs w:val="24"/>
                <w:lang w:val="en-US" w:eastAsia="zh-CN" w:bidi="ar"/>
              </w:rPr>
              <w:t>学校纪委监察处，电话：021-54344605，电子信箱：jwjc@admin.ecnu.edu.cn。</w:t>
            </w:r>
          </w:p>
        </w:tc>
      </w:tr>
      <w:tr>
        <w:tblPrEx>
          <w:tblLayout w:type="fixed"/>
          <w:tblCellMar>
            <w:top w:w="0" w:type="dxa"/>
            <w:left w:w="0" w:type="dxa"/>
            <w:bottom w:w="0" w:type="dxa"/>
            <w:right w:w="0" w:type="dxa"/>
          </w:tblCellMar>
        </w:tblPrEx>
        <w:trPr>
          <w:tblCellSpacing w:w="0" w:type="dxa"/>
          <w:jc w:val="center"/>
        </w:trPr>
        <w:tc>
          <w:tcPr>
            <w:tcW w:w="8306" w:type="dxa"/>
            <w:gridSpan w:val="4"/>
            <w:shd w:val="clear" w:color="auto" w:fill="FFFFFF"/>
            <w:vAlign w:val="center"/>
          </w:tcPr>
          <w:p>
            <w:pPr>
              <w:jc w:val="center"/>
              <w:rPr>
                <w:rFonts w:hint="eastAsia" w:ascii="微软雅黑" w:hAnsi="微软雅黑" w:eastAsia="微软雅黑" w:cs="微软雅黑"/>
                <w:caps w:val="0"/>
                <w:spacing w:val="0"/>
                <w:sz w:val="24"/>
                <w:szCs w:val="24"/>
              </w:rPr>
            </w:pPr>
          </w:p>
        </w:tc>
      </w:tr>
      <w:tr>
        <w:tblPrEx>
          <w:tblLayout w:type="fixed"/>
          <w:tblCellMar>
            <w:top w:w="0" w:type="dxa"/>
            <w:left w:w="0" w:type="dxa"/>
            <w:bottom w:w="0" w:type="dxa"/>
            <w:right w:w="0" w:type="dxa"/>
          </w:tblCellMar>
        </w:tblPrEx>
        <w:trPr>
          <w:tblCellSpacing w:w="0" w:type="dxa"/>
          <w:jc w:val="center"/>
        </w:trPr>
        <w:tc>
          <w:tcPr>
            <w:tcW w:w="2076" w:type="dxa"/>
            <w:shd w:val="clear" w:color="auto" w:fill="FFFFFF"/>
            <w:vAlign w:val="center"/>
          </w:tcPr>
          <w:p>
            <w:pPr>
              <w:rPr>
                <w:rFonts w:hint="eastAsia" w:ascii="微软雅黑" w:hAnsi="微软雅黑" w:eastAsia="微软雅黑" w:cs="微软雅黑"/>
                <w:caps w:val="0"/>
                <w:spacing w:val="0"/>
                <w:sz w:val="24"/>
                <w:szCs w:val="24"/>
              </w:rPr>
            </w:pPr>
          </w:p>
        </w:tc>
        <w:tc>
          <w:tcPr>
            <w:tcW w:w="2076" w:type="dxa"/>
            <w:shd w:val="clear" w:color="auto" w:fill="FFFFFF"/>
            <w:vAlign w:val="center"/>
          </w:tcPr>
          <w:p>
            <w:pPr>
              <w:rPr>
                <w:rFonts w:hint="eastAsia" w:ascii="微软雅黑" w:hAnsi="微软雅黑" w:eastAsia="微软雅黑" w:cs="微软雅黑"/>
                <w:caps w:val="0"/>
                <w:spacing w:val="0"/>
                <w:sz w:val="24"/>
                <w:szCs w:val="24"/>
              </w:rPr>
            </w:pPr>
          </w:p>
        </w:tc>
        <w:tc>
          <w:tcPr>
            <w:tcW w:w="2077" w:type="dxa"/>
            <w:shd w:val="clear" w:color="auto" w:fill="FFFFFF"/>
            <w:vAlign w:val="center"/>
          </w:tcPr>
          <w:p>
            <w:pPr>
              <w:rPr>
                <w:rFonts w:hint="eastAsia" w:ascii="微软雅黑" w:hAnsi="微软雅黑" w:eastAsia="微软雅黑" w:cs="微软雅黑"/>
                <w:caps w:val="0"/>
                <w:spacing w:val="0"/>
                <w:sz w:val="24"/>
                <w:szCs w:val="24"/>
              </w:rPr>
            </w:pPr>
          </w:p>
        </w:tc>
        <w:tc>
          <w:tcPr>
            <w:tcW w:w="2077" w:type="dxa"/>
            <w:shd w:val="clear" w:color="auto" w:fill="FFFFFF"/>
            <w:vAlign w:val="center"/>
          </w:tcPr>
          <w:p>
            <w:pPr>
              <w:rPr>
                <w:rFonts w:hint="eastAsia" w:ascii="微软雅黑" w:hAnsi="微软雅黑" w:eastAsia="微软雅黑" w:cs="微软雅黑"/>
                <w:caps w:val="0"/>
                <w:spacing w:val="0"/>
                <w:sz w:val="24"/>
                <w:szCs w:val="24"/>
              </w:rPr>
            </w:pP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1D07B2A"/>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2019-04-18T02:04:18Z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