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rPr>
          <w:rFonts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7FDFF"/>
        </w:rPr>
        <w:t> </w:t>
      </w:r>
      <w:r>
        <w:rPr>
          <w:rFonts w:hint="eastAsia" w:ascii="宋体" w:hAnsi="宋体" w:eastAsia="宋体" w:cs="宋体"/>
          <w:b w:val="0"/>
          <w:i w:val="0"/>
          <w:caps w:val="0"/>
          <w:color w:val="000000"/>
          <w:spacing w:val="0"/>
          <w:sz w:val="21"/>
          <w:szCs w:val="21"/>
          <w:bdr w:val="none" w:color="auto" w:sz="0" w:space="0"/>
          <w:shd w:val="clear" w:fill="F7FDFF"/>
        </w:rPr>
        <w:t>根据《</w:t>
      </w:r>
      <w:r>
        <w:rPr>
          <w:rFonts w:hint="default" w:ascii="Arial" w:hAnsi="Arial" w:cs="Arial"/>
          <w:b w:val="0"/>
          <w:i w:val="0"/>
          <w:caps w:val="0"/>
          <w:color w:val="000000"/>
          <w:spacing w:val="0"/>
          <w:sz w:val="21"/>
          <w:szCs w:val="21"/>
          <w:bdr w:val="none" w:color="auto" w:sz="0" w:space="0"/>
          <w:shd w:val="clear" w:fill="F7FDFF"/>
          <w:lang w:val="en-US"/>
        </w:rPr>
        <w:t>2019</w:t>
      </w:r>
      <w:r>
        <w:rPr>
          <w:rFonts w:hint="eastAsia" w:ascii="宋体" w:hAnsi="宋体" w:eastAsia="宋体" w:cs="宋体"/>
          <w:b w:val="0"/>
          <w:i w:val="0"/>
          <w:caps w:val="0"/>
          <w:color w:val="000000"/>
          <w:spacing w:val="0"/>
          <w:sz w:val="21"/>
          <w:szCs w:val="21"/>
          <w:bdr w:val="none" w:color="auto" w:sz="0" w:space="0"/>
          <w:shd w:val="clear" w:fill="F7FDFF"/>
        </w:rPr>
        <w:t>年电子科技大学全国硕士研究生招生考试复试工作安排通知》的精神，现将生命科学与技术学院硕士研究生招生考试复试工作安排如下：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一、各专业复试分数线及调剂</w:t>
      </w:r>
    </w:p>
    <w:tbl>
      <w:tblPr>
        <w:tblW w:w="8522" w:type="dxa"/>
        <w:tblInd w:w="0" w:type="dxa"/>
        <w:shd w:val="clear" w:color="auto" w:fill="F7FDFF"/>
        <w:tblLayout w:type="fixed"/>
        <w:tblCellMar>
          <w:top w:w="0" w:type="dxa"/>
          <w:left w:w="0" w:type="dxa"/>
          <w:bottom w:w="0" w:type="dxa"/>
          <w:right w:w="0" w:type="dxa"/>
        </w:tblCellMar>
      </w:tblPr>
      <w:tblGrid>
        <w:gridCol w:w="932"/>
        <w:gridCol w:w="1699"/>
        <w:gridCol w:w="785"/>
        <w:gridCol w:w="786"/>
        <w:gridCol w:w="788"/>
        <w:gridCol w:w="786"/>
        <w:gridCol w:w="634"/>
        <w:gridCol w:w="1073"/>
        <w:gridCol w:w="1039"/>
      </w:tblGrid>
      <w:tr>
        <w:tblPrEx>
          <w:shd w:val="clear" w:color="auto" w:fill="F7FDFF"/>
          <w:tblLayout w:type="fixed"/>
          <w:tblCellMar>
            <w:top w:w="0" w:type="dxa"/>
            <w:left w:w="0" w:type="dxa"/>
            <w:bottom w:w="0" w:type="dxa"/>
            <w:right w:w="0" w:type="dxa"/>
          </w:tblCellMar>
        </w:tblPrEx>
        <w:trPr>
          <w:trHeight w:val="471" w:hRule="atLeast"/>
        </w:trPr>
        <w:tc>
          <w:tcPr>
            <w:tcW w:w="2631" w:type="dxa"/>
            <w:gridSpan w:val="2"/>
            <w:tcBorders>
              <w:top w:val="single" w:color="auto" w:sz="8" w:space="0"/>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专业</w:t>
            </w:r>
          </w:p>
        </w:tc>
        <w:tc>
          <w:tcPr>
            <w:tcW w:w="785"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第一单元</w:t>
            </w:r>
          </w:p>
        </w:tc>
        <w:tc>
          <w:tcPr>
            <w:tcW w:w="786"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第二单元</w:t>
            </w:r>
          </w:p>
        </w:tc>
        <w:tc>
          <w:tcPr>
            <w:tcW w:w="788"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第三单元</w:t>
            </w:r>
          </w:p>
        </w:tc>
        <w:tc>
          <w:tcPr>
            <w:tcW w:w="786"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第四单元</w:t>
            </w:r>
          </w:p>
        </w:tc>
        <w:tc>
          <w:tcPr>
            <w:tcW w:w="634"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总分</w:t>
            </w:r>
          </w:p>
        </w:tc>
        <w:tc>
          <w:tcPr>
            <w:tcW w:w="1073"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调剂</w:t>
            </w:r>
          </w:p>
        </w:tc>
        <w:tc>
          <w:tcPr>
            <w:tcW w:w="1039"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公开招考人数</w:t>
            </w:r>
          </w:p>
        </w:tc>
      </w:tr>
      <w:tr>
        <w:tblPrEx>
          <w:shd w:val="clear" w:color="auto" w:fill="F7FDFF"/>
          <w:tblLayout w:type="fixed"/>
          <w:tblCellMar>
            <w:top w:w="0" w:type="dxa"/>
            <w:left w:w="0" w:type="dxa"/>
            <w:bottom w:w="0" w:type="dxa"/>
            <w:right w:w="0" w:type="dxa"/>
          </w:tblCellMar>
        </w:tblPrEx>
        <w:trPr>
          <w:trHeight w:val="471" w:hRule="atLeast"/>
        </w:trPr>
        <w:tc>
          <w:tcPr>
            <w:tcW w:w="932"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040203</w:t>
            </w:r>
          </w:p>
        </w:tc>
        <w:tc>
          <w:tcPr>
            <w:tcW w:w="169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应用心理学</w:t>
            </w:r>
          </w:p>
        </w:tc>
        <w:tc>
          <w:tcPr>
            <w:tcW w:w="78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50</w:t>
            </w:r>
          </w:p>
        </w:tc>
        <w:tc>
          <w:tcPr>
            <w:tcW w:w="78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50</w:t>
            </w:r>
          </w:p>
        </w:tc>
        <w:tc>
          <w:tcPr>
            <w:tcW w:w="78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200</w:t>
            </w:r>
          </w:p>
        </w:tc>
        <w:tc>
          <w:tcPr>
            <w:tcW w:w="78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 </w:t>
            </w:r>
          </w:p>
        </w:tc>
        <w:tc>
          <w:tcPr>
            <w:tcW w:w="63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370</w:t>
            </w:r>
          </w:p>
        </w:tc>
        <w:tc>
          <w:tcPr>
            <w:tcW w:w="107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不接收</w:t>
            </w:r>
          </w:p>
        </w:tc>
        <w:tc>
          <w:tcPr>
            <w:tcW w:w="1039" w:type="dxa"/>
            <w:vMerge w:val="restart"/>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66</w:t>
            </w:r>
            <w:r>
              <w:rPr>
                <w:rFonts w:hint="eastAsia" w:ascii="宋体" w:hAnsi="宋体" w:eastAsia="宋体" w:cs="宋体"/>
                <w:b w:val="0"/>
                <w:i w:val="0"/>
                <w:caps w:val="0"/>
                <w:color w:val="000000"/>
                <w:spacing w:val="0"/>
                <w:kern w:val="0"/>
                <w:sz w:val="20"/>
                <w:szCs w:val="20"/>
                <w:bdr w:val="none" w:color="auto" w:sz="0" w:space="0"/>
                <w:lang w:val="en-US" w:eastAsia="zh-CN" w:bidi="ar"/>
              </w:rPr>
              <w:t>人</w:t>
            </w:r>
          </w:p>
        </w:tc>
      </w:tr>
      <w:tr>
        <w:tblPrEx>
          <w:shd w:val="clear" w:color="auto" w:fill="F7FDFF"/>
          <w:tblLayout w:type="fixed"/>
          <w:tblCellMar>
            <w:top w:w="0" w:type="dxa"/>
            <w:left w:w="0" w:type="dxa"/>
            <w:bottom w:w="0" w:type="dxa"/>
            <w:right w:w="0" w:type="dxa"/>
          </w:tblCellMar>
        </w:tblPrEx>
        <w:trPr>
          <w:trHeight w:val="471" w:hRule="atLeast"/>
        </w:trPr>
        <w:tc>
          <w:tcPr>
            <w:tcW w:w="932"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071000</w:t>
            </w:r>
          </w:p>
        </w:tc>
        <w:tc>
          <w:tcPr>
            <w:tcW w:w="169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生物学</w:t>
            </w:r>
          </w:p>
        </w:tc>
        <w:tc>
          <w:tcPr>
            <w:tcW w:w="78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45</w:t>
            </w:r>
          </w:p>
        </w:tc>
        <w:tc>
          <w:tcPr>
            <w:tcW w:w="78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45</w:t>
            </w:r>
          </w:p>
        </w:tc>
        <w:tc>
          <w:tcPr>
            <w:tcW w:w="78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70</w:t>
            </w:r>
          </w:p>
        </w:tc>
        <w:tc>
          <w:tcPr>
            <w:tcW w:w="78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70</w:t>
            </w:r>
          </w:p>
        </w:tc>
        <w:tc>
          <w:tcPr>
            <w:tcW w:w="63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300</w:t>
            </w:r>
          </w:p>
        </w:tc>
        <w:tc>
          <w:tcPr>
            <w:tcW w:w="107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院内、校内</w:t>
            </w:r>
          </w:p>
        </w:tc>
        <w:tc>
          <w:tcPr>
            <w:tcW w:w="1039" w:type="dxa"/>
            <w:vMerge w:val="continue"/>
            <w:tcBorders>
              <w:top w:val="nil"/>
              <w:left w:val="nil"/>
              <w:bottom w:val="single" w:color="auto" w:sz="8" w:space="0"/>
              <w:right w:val="single" w:color="auto" w:sz="8" w:space="0"/>
            </w:tcBorders>
            <w:shd w:val="clear" w:color="auto" w:fill="F7FDFF"/>
            <w:tcMar>
              <w:left w:w="108" w:type="dxa"/>
              <w:right w:w="108" w:type="dxa"/>
            </w:tcMar>
            <w:vAlign w:val="center"/>
          </w:tcPr>
          <w:p>
            <w:pPr>
              <w:rPr>
                <w:rFonts w:hint="default" w:ascii="Arial" w:hAnsi="Arial" w:cs="Arial"/>
                <w:b w:val="0"/>
                <w:i w:val="0"/>
                <w:caps w:val="0"/>
                <w:color w:val="000000"/>
                <w:spacing w:val="0"/>
                <w:sz w:val="21"/>
                <w:szCs w:val="21"/>
              </w:rPr>
            </w:pPr>
          </w:p>
        </w:tc>
      </w:tr>
      <w:tr>
        <w:tblPrEx>
          <w:tblLayout w:type="fixed"/>
          <w:tblCellMar>
            <w:top w:w="0" w:type="dxa"/>
            <w:left w:w="0" w:type="dxa"/>
            <w:bottom w:w="0" w:type="dxa"/>
            <w:right w:w="0" w:type="dxa"/>
          </w:tblCellMar>
        </w:tblPrEx>
        <w:trPr>
          <w:trHeight w:val="471" w:hRule="atLeast"/>
        </w:trPr>
        <w:tc>
          <w:tcPr>
            <w:tcW w:w="932"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083100</w:t>
            </w:r>
          </w:p>
        </w:tc>
        <w:tc>
          <w:tcPr>
            <w:tcW w:w="169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生物医学工程（全日制学术学位）</w:t>
            </w:r>
          </w:p>
        </w:tc>
        <w:tc>
          <w:tcPr>
            <w:tcW w:w="78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45</w:t>
            </w:r>
          </w:p>
        </w:tc>
        <w:tc>
          <w:tcPr>
            <w:tcW w:w="78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45</w:t>
            </w:r>
          </w:p>
        </w:tc>
        <w:tc>
          <w:tcPr>
            <w:tcW w:w="78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70</w:t>
            </w:r>
          </w:p>
        </w:tc>
        <w:tc>
          <w:tcPr>
            <w:tcW w:w="78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70</w:t>
            </w:r>
          </w:p>
        </w:tc>
        <w:tc>
          <w:tcPr>
            <w:tcW w:w="63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310</w:t>
            </w:r>
          </w:p>
        </w:tc>
        <w:tc>
          <w:tcPr>
            <w:tcW w:w="107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不接收</w:t>
            </w:r>
          </w:p>
        </w:tc>
        <w:tc>
          <w:tcPr>
            <w:tcW w:w="1039" w:type="dxa"/>
            <w:vMerge w:val="continue"/>
            <w:tcBorders>
              <w:top w:val="nil"/>
              <w:left w:val="nil"/>
              <w:bottom w:val="single" w:color="auto" w:sz="8" w:space="0"/>
              <w:right w:val="single" w:color="auto" w:sz="8" w:space="0"/>
            </w:tcBorders>
            <w:shd w:val="clear" w:color="auto" w:fill="F7FDFF"/>
            <w:tcMar>
              <w:left w:w="108" w:type="dxa"/>
              <w:right w:w="108" w:type="dxa"/>
            </w:tcMar>
            <w:vAlign w:val="center"/>
          </w:tcPr>
          <w:p>
            <w:pPr>
              <w:rPr>
                <w:rFonts w:hint="default" w:ascii="Arial" w:hAnsi="Arial" w:cs="Arial"/>
                <w:b w:val="0"/>
                <w:i w:val="0"/>
                <w:caps w:val="0"/>
                <w:color w:val="000000"/>
                <w:spacing w:val="0"/>
                <w:sz w:val="21"/>
                <w:szCs w:val="21"/>
              </w:rPr>
            </w:pPr>
          </w:p>
        </w:tc>
      </w:tr>
      <w:tr>
        <w:tblPrEx>
          <w:shd w:val="clear" w:color="auto" w:fill="F7FDFF"/>
          <w:tblLayout w:type="fixed"/>
          <w:tblCellMar>
            <w:top w:w="0" w:type="dxa"/>
            <w:left w:w="0" w:type="dxa"/>
            <w:bottom w:w="0" w:type="dxa"/>
            <w:right w:w="0" w:type="dxa"/>
          </w:tblCellMar>
        </w:tblPrEx>
        <w:trPr>
          <w:trHeight w:val="471" w:hRule="atLeast"/>
        </w:trPr>
        <w:tc>
          <w:tcPr>
            <w:tcW w:w="932"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085230</w:t>
            </w:r>
          </w:p>
        </w:tc>
        <w:tc>
          <w:tcPr>
            <w:tcW w:w="169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生物医学工程（全日制专业学位）</w:t>
            </w:r>
          </w:p>
        </w:tc>
        <w:tc>
          <w:tcPr>
            <w:tcW w:w="78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45</w:t>
            </w:r>
          </w:p>
        </w:tc>
        <w:tc>
          <w:tcPr>
            <w:tcW w:w="78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45</w:t>
            </w:r>
          </w:p>
        </w:tc>
        <w:tc>
          <w:tcPr>
            <w:tcW w:w="78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70</w:t>
            </w:r>
          </w:p>
        </w:tc>
        <w:tc>
          <w:tcPr>
            <w:tcW w:w="78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70</w:t>
            </w:r>
          </w:p>
        </w:tc>
        <w:tc>
          <w:tcPr>
            <w:tcW w:w="63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280</w:t>
            </w:r>
          </w:p>
        </w:tc>
        <w:tc>
          <w:tcPr>
            <w:tcW w:w="107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院内、校内</w:t>
            </w:r>
          </w:p>
        </w:tc>
        <w:tc>
          <w:tcPr>
            <w:tcW w:w="103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43</w:t>
            </w:r>
          </w:p>
        </w:tc>
      </w:tr>
      <w:tr>
        <w:tblPrEx>
          <w:shd w:val="clear" w:color="auto" w:fill="F7FDFF"/>
          <w:tblLayout w:type="fixed"/>
          <w:tblCellMar>
            <w:top w:w="0" w:type="dxa"/>
            <w:left w:w="0" w:type="dxa"/>
            <w:bottom w:w="0" w:type="dxa"/>
            <w:right w:w="0" w:type="dxa"/>
          </w:tblCellMar>
        </w:tblPrEx>
        <w:trPr>
          <w:trHeight w:val="471" w:hRule="atLeast"/>
        </w:trPr>
        <w:tc>
          <w:tcPr>
            <w:tcW w:w="932"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085230</w:t>
            </w:r>
          </w:p>
        </w:tc>
        <w:tc>
          <w:tcPr>
            <w:tcW w:w="169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生物医学工程（非全日制专业学位）</w:t>
            </w:r>
          </w:p>
        </w:tc>
        <w:tc>
          <w:tcPr>
            <w:tcW w:w="78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45</w:t>
            </w:r>
          </w:p>
        </w:tc>
        <w:tc>
          <w:tcPr>
            <w:tcW w:w="78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45</w:t>
            </w:r>
          </w:p>
        </w:tc>
        <w:tc>
          <w:tcPr>
            <w:tcW w:w="78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70</w:t>
            </w:r>
          </w:p>
        </w:tc>
        <w:tc>
          <w:tcPr>
            <w:tcW w:w="78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70</w:t>
            </w:r>
          </w:p>
        </w:tc>
        <w:tc>
          <w:tcPr>
            <w:tcW w:w="63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280</w:t>
            </w:r>
          </w:p>
        </w:tc>
        <w:tc>
          <w:tcPr>
            <w:tcW w:w="1073"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院内、校内</w:t>
            </w:r>
          </w:p>
        </w:tc>
        <w:tc>
          <w:tcPr>
            <w:tcW w:w="103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0"/>
                <w:szCs w:val="20"/>
                <w:bdr w:val="none" w:color="auto" w:sz="0" w:space="0"/>
                <w:lang w:val="en-US" w:eastAsia="zh-CN" w:bidi="ar"/>
              </w:rPr>
              <w:t>30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说明：</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复试名单于资格审核后在学院网站和学校研招网公布。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强军计划、少数民族骨干计划、退役大学生士兵等专项计划按学校标准划线。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公开招考人数不含强军计划、少数民族骨干计划、退役大学生士兵等专项计划，可根据生源情况适当调整。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二、复试时间安排</w:t>
      </w:r>
    </w:p>
    <w:tbl>
      <w:tblPr>
        <w:tblW w:w="746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
      <w:tblGrid>
        <w:gridCol w:w="1498"/>
        <w:gridCol w:w="595"/>
        <w:gridCol w:w="1154"/>
        <w:gridCol w:w="42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rPr>
          <w:trHeight w:val="281" w:hRule="atLeast"/>
        </w:trPr>
        <w:tc>
          <w:tcPr>
            <w:tcW w:w="1498" w:type="dxa"/>
            <w:tcBorders>
              <w:top w:val="single" w:color="auto" w:sz="8" w:space="0"/>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时间</w:t>
            </w:r>
          </w:p>
        </w:tc>
        <w:tc>
          <w:tcPr>
            <w:tcW w:w="595"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内容</w:t>
            </w:r>
          </w:p>
        </w:tc>
        <w:tc>
          <w:tcPr>
            <w:tcW w:w="1154"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地点</w:t>
            </w:r>
          </w:p>
        </w:tc>
        <w:tc>
          <w:tcPr>
            <w:tcW w:w="4218"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rPr>
          <w:trHeight w:val="1008" w:hRule="atLeast"/>
        </w:trPr>
        <w:tc>
          <w:tcPr>
            <w:tcW w:w="1498"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4"/>
                <w:szCs w:val="24"/>
                <w:bdr w:val="none" w:color="auto" w:sz="0" w:space="0"/>
                <w:lang w:val="en-US" w:eastAsia="zh-CN" w:bidi="ar"/>
              </w:rPr>
              <w:t>3</w:t>
            </w:r>
            <w:r>
              <w:rPr>
                <w:rFonts w:hint="eastAsia" w:ascii="宋体" w:hAnsi="宋体" w:eastAsia="宋体" w:cs="宋体"/>
                <w:b w:val="0"/>
                <w:i w:val="0"/>
                <w:caps w:val="0"/>
                <w:color w:val="000000"/>
                <w:spacing w:val="0"/>
                <w:kern w:val="0"/>
                <w:sz w:val="24"/>
                <w:szCs w:val="24"/>
                <w:bdr w:val="none" w:color="auto" w:sz="0" w:space="0"/>
                <w:lang w:val="en-US" w:eastAsia="zh-CN" w:bidi="ar"/>
              </w:rPr>
              <w:t>月</w:t>
            </w:r>
            <w:r>
              <w:rPr>
                <w:rFonts w:hint="default" w:ascii="Arial" w:hAnsi="Arial" w:cs="Arial" w:eastAsiaTheme="minorEastAsia"/>
                <w:b w:val="0"/>
                <w:i w:val="0"/>
                <w:caps w:val="0"/>
                <w:color w:val="000000"/>
                <w:spacing w:val="0"/>
                <w:kern w:val="0"/>
                <w:sz w:val="24"/>
                <w:szCs w:val="24"/>
                <w:bdr w:val="none" w:color="auto" w:sz="0" w:space="0"/>
                <w:lang w:val="en-US" w:eastAsia="zh-CN" w:bidi="ar"/>
              </w:rPr>
              <w:t>25</w:t>
            </w:r>
            <w:r>
              <w:rPr>
                <w:rFonts w:hint="eastAsia" w:ascii="宋体" w:hAnsi="宋体" w:eastAsia="宋体" w:cs="宋体"/>
                <w:b w:val="0"/>
                <w:i w:val="0"/>
                <w:caps w:val="0"/>
                <w:color w:val="000000"/>
                <w:spacing w:val="0"/>
                <w:kern w:val="0"/>
                <w:sz w:val="24"/>
                <w:szCs w:val="24"/>
                <w:bdr w:val="none" w:color="auto" w:sz="0" w:space="0"/>
                <w:lang w:val="en-US" w:eastAsia="zh-CN" w:bidi="ar"/>
              </w:rPr>
              <w:t>日（周一）</w:t>
            </w:r>
            <w:r>
              <w:rPr>
                <w:rFonts w:hint="default" w:ascii="Arial" w:hAnsi="Arial" w:cs="Arial" w:eastAsiaTheme="minorEastAsia"/>
                <w:b w:val="0"/>
                <w:i w:val="0"/>
                <w:caps w:val="0"/>
                <w:color w:val="000000"/>
                <w:spacing w:val="0"/>
                <w:kern w:val="0"/>
                <w:sz w:val="24"/>
                <w:szCs w:val="24"/>
                <w:bdr w:val="none" w:color="auto" w:sz="0" w:space="0"/>
                <w:lang w:val="en-US" w:eastAsia="zh-CN" w:bidi="ar"/>
              </w:rPr>
              <w:t>9:00-14</w:t>
            </w:r>
            <w:r>
              <w:rPr>
                <w:rFonts w:hint="eastAsia" w:ascii="宋体" w:hAnsi="宋体" w:eastAsia="宋体" w:cs="宋体"/>
                <w:b w:val="0"/>
                <w:i w:val="0"/>
                <w:caps w:val="0"/>
                <w:color w:val="000000"/>
                <w:spacing w:val="0"/>
                <w:kern w:val="0"/>
                <w:sz w:val="24"/>
                <w:szCs w:val="24"/>
                <w:bdr w:val="none" w:color="auto" w:sz="0" w:space="0"/>
                <w:lang w:val="en-US" w:eastAsia="zh-CN" w:bidi="ar"/>
              </w:rPr>
              <w:t>：</w:t>
            </w:r>
            <w:r>
              <w:rPr>
                <w:rFonts w:hint="default" w:ascii="Arial" w:hAnsi="Arial" w:cs="Arial" w:eastAsiaTheme="minorEastAsia"/>
                <w:b w:val="0"/>
                <w:i w:val="0"/>
                <w:caps w:val="0"/>
                <w:color w:val="000000"/>
                <w:spacing w:val="0"/>
                <w:kern w:val="0"/>
                <w:sz w:val="24"/>
                <w:szCs w:val="24"/>
                <w:bdr w:val="none" w:color="auto" w:sz="0" w:space="0"/>
                <w:lang w:val="en-US" w:eastAsia="zh-CN" w:bidi="ar"/>
              </w:rPr>
              <w:t>00</w:t>
            </w:r>
            <w:r>
              <w:rPr>
                <w:rFonts w:hint="eastAsia" w:ascii="宋体" w:hAnsi="宋体" w:eastAsia="宋体" w:cs="宋体"/>
                <w:b w:val="0"/>
                <w:i w:val="0"/>
                <w:caps w:val="0"/>
                <w:color w:val="000000"/>
                <w:spacing w:val="0"/>
                <w:kern w:val="0"/>
                <w:sz w:val="24"/>
                <w:szCs w:val="24"/>
                <w:bdr w:val="none" w:color="auto" w:sz="0" w:space="0"/>
                <w:lang w:val="en-US" w:eastAsia="zh-CN" w:bidi="ar"/>
              </w:rPr>
              <w:t>（中午不休息）</w:t>
            </w:r>
          </w:p>
        </w:tc>
        <w:tc>
          <w:tcPr>
            <w:tcW w:w="59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资格审查</w:t>
            </w:r>
          </w:p>
        </w:tc>
        <w:tc>
          <w:tcPr>
            <w:tcW w:w="115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沙河校区主楼</w:t>
            </w:r>
            <w:r>
              <w:rPr>
                <w:rFonts w:hint="default" w:ascii="Arial" w:hAnsi="Arial" w:cs="Arial" w:eastAsiaTheme="minorEastAsia"/>
                <w:b w:val="0"/>
                <w:i w:val="0"/>
                <w:caps w:val="0"/>
                <w:color w:val="000000"/>
                <w:spacing w:val="0"/>
                <w:kern w:val="0"/>
                <w:sz w:val="24"/>
                <w:szCs w:val="24"/>
                <w:bdr w:val="none" w:color="auto" w:sz="0" w:space="0"/>
                <w:lang w:val="en-US" w:eastAsia="zh-CN" w:bidi="ar"/>
              </w:rPr>
              <w:t>256</w:t>
            </w:r>
          </w:p>
        </w:tc>
        <w:tc>
          <w:tcPr>
            <w:tcW w:w="421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须携带复试通知单或调剂申请单、准考证、身份证原件、毕业证或学位证原件（往届生）、学生证原件（应届生）、</w:t>
            </w:r>
            <w:r>
              <w:rPr>
                <w:rFonts w:hint="eastAsia" w:ascii="宋体" w:hAnsi="宋体" w:eastAsia="宋体" w:cs="宋体"/>
                <w:b/>
                <w:i w:val="0"/>
                <w:caps w:val="0"/>
                <w:color w:val="000000"/>
                <w:spacing w:val="0"/>
                <w:kern w:val="0"/>
                <w:sz w:val="24"/>
                <w:szCs w:val="24"/>
                <w:bdr w:val="none" w:color="auto" w:sz="0" w:space="0"/>
                <w:lang w:val="en-US" w:eastAsia="zh-CN" w:bidi="ar"/>
              </w:rPr>
              <w:t>《教育部学历证书电子注册备案表》（往届生提供，学信网打印）、《教育部学籍在线验证报告》（应届生提供，学信网打印）、体检单（校医院审核盖章）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学信网网址</w:t>
            </w:r>
            <w:r>
              <w:rPr>
                <w:rFonts w:hint="default" w:ascii="Arial" w:hAnsi="Arial" w:cs="Arial" w:eastAsiaTheme="minorEastAsia"/>
                <w:b w:val="0"/>
                <w:i w:val="0"/>
                <w:caps w:val="0"/>
                <w:color w:val="000000"/>
                <w:spacing w:val="0"/>
                <w:kern w:val="0"/>
                <w:sz w:val="24"/>
                <w:szCs w:val="24"/>
                <w:bdr w:val="none" w:color="auto" w:sz="0" w:space="0"/>
                <w:lang w:val="en-US" w:eastAsia="zh-CN" w:bidi="ar"/>
              </w:rPr>
              <w:t>https://www.chsi.com.cn/xlcx/bgys.jsp</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rPr>
          <w:trHeight w:val="580" w:hRule="atLeast"/>
        </w:trPr>
        <w:tc>
          <w:tcPr>
            <w:tcW w:w="1498"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4"/>
                <w:szCs w:val="24"/>
                <w:bdr w:val="none" w:color="auto" w:sz="0" w:space="0"/>
                <w:lang w:val="en-US" w:eastAsia="zh-CN" w:bidi="ar"/>
              </w:rPr>
              <w:t>3</w:t>
            </w:r>
            <w:r>
              <w:rPr>
                <w:rFonts w:hint="eastAsia" w:ascii="宋体" w:hAnsi="宋体" w:eastAsia="宋体" w:cs="宋体"/>
                <w:b w:val="0"/>
                <w:i w:val="0"/>
                <w:caps w:val="0"/>
                <w:color w:val="000000"/>
                <w:spacing w:val="0"/>
                <w:kern w:val="0"/>
                <w:sz w:val="24"/>
                <w:szCs w:val="24"/>
                <w:bdr w:val="none" w:color="auto" w:sz="0" w:space="0"/>
                <w:lang w:val="en-US" w:eastAsia="zh-CN" w:bidi="ar"/>
              </w:rPr>
              <w:t>月</w:t>
            </w:r>
            <w:r>
              <w:rPr>
                <w:rFonts w:hint="default" w:ascii="Arial" w:hAnsi="Arial" w:cs="Arial" w:eastAsiaTheme="minorEastAsia"/>
                <w:b w:val="0"/>
                <w:i w:val="0"/>
                <w:caps w:val="0"/>
                <w:color w:val="000000"/>
                <w:spacing w:val="0"/>
                <w:kern w:val="0"/>
                <w:sz w:val="24"/>
                <w:szCs w:val="24"/>
                <w:bdr w:val="none" w:color="auto" w:sz="0" w:space="0"/>
                <w:lang w:val="en-US" w:eastAsia="zh-CN" w:bidi="ar"/>
              </w:rPr>
              <w:t>26</w:t>
            </w:r>
            <w:r>
              <w:rPr>
                <w:rFonts w:hint="eastAsia" w:ascii="宋体" w:hAnsi="宋体" w:eastAsia="宋体" w:cs="宋体"/>
                <w:b w:val="0"/>
                <w:i w:val="0"/>
                <w:caps w:val="0"/>
                <w:color w:val="000000"/>
                <w:spacing w:val="0"/>
                <w:kern w:val="0"/>
                <w:sz w:val="24"/>
                <w:szCs w:val="24"/>
                <w:bdr w:val="none" w:color="auto" w:sz="0" w:space="0"/>
                <w:lang w:val="en-US" w:eastAsia="zh-CN" w:bidi="ar"/>
              </w:rPr>
              <w:t>日（周二）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4"/>
                <w:szCs w:val="24"/>
                <w:bdr w:val="none" w:color="auto" w:sz="0" w:space="0"/>
                <w:lang w:val="en-US" w:eastAsia="zh-CN" w:bidi="ar"/>
              </w:rPr>
              <w:t>10:20-12:20</w:t>
            </w:r>
          </w:p>
        </w:tc>
        <w:tc>
          <w:tcPr>
            <w:tcW w:w="59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专业笔试</w:t>
            </w:r>
          </w:p>
        </w:tc>
        <w:tc>
          <w:tcPr>
            <w:tcW w:w="115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沙河二教</w:t>
            </w:r>
            <w:r>
              <w:rPr>
                <w:rFonts w:hint="default" w:ascii="Arial" w:hAnsi="Arial" w:cs="Arial" w:eastAsiaTheme="minorEastAsia"/>
                <w:b w:val="0"/>
                <w:i w:val="0"/>
                <w:caps w:val="0"/>
                <w:color w:val="000000"/>
                <w:spacing w:val="0"/>
                <w:kern w:val="0"/>
                <w:sz w:val="24"/>
                <w:szCs w:val="24"/>
                <w:bdr w:val="none" w:color="auto" w:sz="0" w:space="0"/>
                <w:lang w:val="en-US" w:eastAsia="zh-CN" w:bidi="ar"/>
              </w:rPr>
              <w:t>305</w:t>
            </w:r>
            <w:r>
              <w:rPr>
                <w:rFonts w:hint="eastAsia" w:ascii="宋体" w:hAnsi="宋体" w:eastAsia="宋体" w:cs="宋体"/>
                <w:b w:val="0"/>
                <w:i w:val="0"/>
                <w:caps w:val="0"/>
                <w:color w:val="000000"/>
                <w:spacing w:val="0"/>
                <w:kern w:val="0"/>
                <w:sz w:val="24"/>
                <w:szCs w:val="24"/>
                <w:bdr w:val="none" w:color="auto" w:sz="0" w:space="0"/>
                <w:lang w:val="en-US" w:eastAsia="zh-CN" w:bidi="ar"/>
              </w:rPr>
              <w:t>、</w:t>
            </w:r>
            <w:r>
              <w:rPr>
                <w:rFonts w:hint="default" w:ascii="Arial" w:hAnsi="Arial" w:cs="Arial" w:eastAsiaTheme="minorEastAsia"/>
                <w:b w:val="0"/>
                <w:i w:val="0"/>
                <w:caps w:val="0"/>
                <w:color w:val="000000"/>
                <w:spacing w:val="0"/>
                <w:kern w:val="0"/>
                <w:sz w:val="24"/>
                <w:szCs w:val="24"/>
                <w:bdr w:val="none" w:color="auto" w:sz="0" w:space="0"/>
                <w:lang w:val="en-US" w:eastAsia="zh-CN" w:bidi="ar"/>
              </w:rPr>
              <w:t>310</w:t>
            </w:r>
            <w:r>
              <w:rPr>
                <w:rFonts w:hint="eastAsia" w:ascii="宋体" w:hAnsi="宋体" w:eastAsia="宋体" w:cs="宋体"/>
                <w:b w:val="0"/>
                <w:i w:val="0"/>
                <w:caps w:val="0"/>
                <w:color w:val="000000"/>
                <w:spacing w:val="0"/>
                <w:kern w:val="0"/>
                <w:sz w:val="24"/>
                <w:szCs w:val="24"/>
                <w:bdr w:val="none" w:color="auto" w:sz="0" w:space="0"/>
                <w:lang w:val="en-US" w:eastAsia="zh-CN" w:bidi="ar"/>
              </w:rPr>
              <w:t>、</w:t>
            </w:r>
            <w:r>
              <w:rPr>
                <w:rFonts w:hint="default" w:ascii="Arial" w:hAnsi="Arial" w:cs="Arial" w:eastAsiaTheme="minorEastAsia"/>
                <w:b w:val="0"/>
                <w:i w:val="0"/>
                <w:caps w:val="0"/>
                <w:color w:val="000000"/>
                <w:spacing w:val="0"/>
                <w:kern w:val="0"/>
                <w:sz w:val="24"/>
                <w:szCs w:val="24"/>
                <w:bdr w:val="none" w:color="auto" w:sz="0" w:space="0"/>
                <w:lang w:val="en-US" w:eastAsia="zh-CN" w:bidi="ar"/>
              </w:rPr>
              <w:t>312</w:t>
            </w:r>
          </w:p>
        </w:tc>
        <w:tc>
          <w:tcPr>
            <w:tcW w:w="421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闭卷，满分</w:t>
            </w:r>
            <w:r>
              <w:rPr>
                <w:rFonts w:hint="default" w:ascii="Arial" w:hAnsi="Arial" w:cs="Arial" w:eastAsiaTheme="minorEastAsia"/>
                <w:b w:val="0"/>
                <w:i w:val="0"/>
                <w:caps w:val="0"/>
                <w:color w:val="000000"/>
                <w:spacing w:val="0"/>
                <w:kern w:val="0"/>
                <w:sz w:val="24"/>
                <w:szCs w:val="24"/>
                <w:bdr w:val="none" w:color="auto" w:sz="0" w:space="0"/>
                <w:lang w:val="en-US" w:eastAsia="zh-CN" w:bidi="ar"/>
              </w:rPr>
              <w:t>200</w:t>
            </w:r>
            <w:r>
              <w:rPr>
                <w:rFonts w:hint="eastAsia" w:ascii="宋体" w:hAnsi="宋体" w:eastAsia="宋体" w:cs="宋体"/>
                <w:b w:val="0"/>
                <w:i w:val="0"/>
                <w:caps w:val="0"/>
                <w:color w:val="000000"/>
                <w:spacing w:val="0"/>
                <w:kern w:val="0"/>
                <w:sz w:val="24"/>
                <w:szCs w:val="24"/>
                <w:bdr w:val="none" w:color="auto" w:sz="0" w:space="0"/>
                <w:lang w:val="en-US" w:eastAsia="zh-CN" w:bidi="ar"/>
              </w:rPr>
              <w:t>分，合格成绩应不低于</w:t>
            </w:r>
            <w:r>
              <w:rPr>
                <w:rFonts w:hint="default" w:ascii="Arial" w:hAnsi="Arial" w:cs="Arial" w:eastAsiaTheme="minorEastAsia"/>
                <w:b w:val="0"/>
                <w:i w:val="0"/>
                <w:caps w:val="0"/>
                <w:color w:val="000000"/>
                <w:spacing w:val="0"/>
                <w:kern w:val="0"/>
                <w:sz w:val="24"/>
                <w:szCs w:val="24"/>
                <w:bdr w:val="none" w:color="auto" w:sz="0" w:space="0"/>
                <w:lang w:val="en-US" w:eastAsia="zh-CN" w:bidi="ar"/>
              </w:rPr>
              <w:t>120</w:t>
            </w:r>
            <w:r>
              <w:rPr>
                <w:rFonts w:hint="eastAsia" w:ascii="宋体" w:hAnsi="宋体" w:eastAsia="宋体" w:cs="宋体"/>
                <w:b w:val="0"/>
                <w:i w:val="0"/>
                <w:caps w:val="0"/>
                <w:color w:val="000000"/>
                <w:spacing w:val="0"/>
                <w:kern w:val="0"/>
                <w:sz w:val="24"/>
                <w:szCs w:val="24"/>
                <w:bdr w:val="none" w:color="auto" w:sz="0" w:space="0"/>
                <w:lang w:val="en-US" w:eastAsia="zh-CN" w:bidi="ar"/>
              </w:rPr>
              <w:t>分；时间</w:t>
            </w:r>
            <w:r>
              <w:rPr>
                <w:rFonts w:hint="default" w:ascii="Arial" w:hAnsi="Arial" w:cs="Arial" w:eastAsiaTheme="minorEastAsia"/>
                <w:b w:val="0"/>
                <w:i w:val="0"/>
                <w:caps w:val="0"/>
                <w:color w:val="000000"/>
                <w:spacing w:val="0"/>
                <w:kern w:val="0"/>
                <w:sz w:val="24"/>
                <w:szCs w:val="24"/>
                <w:bdr w:val="none" w:color="auto" w:sz="0" w:space="0"/>
                <w:lang w:val="en-US" w:eastAsia="zh-CN" w:bidi="ar"/>
              </w:rPr>
              <w:t>120</w:t>
            </w:r>
            <w:r>
              <w:rPr>
                <w:rFonts w:hint="eastAsia" w:ascii="宋体" w:hAnsi="宋体" w:eastAsia="宋体" w:cs="宋体"/>
                <w:b w:val="0"/>
                <w:i w:val="0"/>
                <w:caps w:val="0"/>
                <w:color w:val="000000"/>
                <w:spacing w:val="0"/>
                <w:kern w:val="0"/>
                <w:sz w:val="24"/>
                <w:szCs w:val="24"/>
                <w:bdr w:val="none" w:color="auto" w:sz="0" w:space="0"/>
                <w:lang w:val="en-US" w:eastAsia="zh-CN" w:bidi="ar"/>
              </w:rPr>
              <w:t>分钟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1" w:hRule="atLeast"/>
        </w:trPr>
        <w:tc>
          <w:tcPr>
            <w:tcW w:w="1498"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default" w:ascii="Arial" w:hAnsi="Arial" w:cs="Arial" w:eastAsiaTheme="minorEastAsia"/>
                <w:b w:val="0"/>
                <w:i w:val="0"/>
                <w:caps w:val="0"/>
                <w:color w:val="000000"/>
                <w:spacing w:val="0"/>
                <w:kern w:val="0"/>
                <w:sz w:val="24"/>
                <w:szCs w:val="24"/>
                <w:bdr w:val="none" w:color="auto" w:sz="0" w:space="0"/>
                <w:lang w:val="en-US" w:eastAsia="zh-CN" w:bidi="ar"/>
              </w:rPr>
              <w:t>3</w:t>
            </w:r>
            <w:r>
              <w:rPr>
                <w:rFonts w:hint="eastAsia" w:ascii="宋体" w:hAnsi="宋体" w:eastAsia="宋体" w:cs="宋体"/>
                <w:b w:val="0"/>
                <w:i w:val="0"/>
                <w:caps w:val="0"/>
                <w:color w:val="000000"/>
                <w:spacing w:val="0"/>
                <w:kern w:val="0"/>
                <w:sz w:val="24"/>
                <w:szCs w:val="24"/>
                <w:bdr w:val="none" w:color="auto" w:sz="0" w:space="0"/>
                <w:lang w:val="en-US" w:eastAsia="zh-CN" w:bidi="ar"/>
              </w:rPr>
              <w:t>月</w:t>
            </w:r>
            <w:r>
              <w:rPr>
                <w:rFonts w:hint="default" w:ascii="Arial" w:hAnsi="Arial" w:cs="Arial" w:eastAsiaTheme="minorEastAsia"/>
                <w:b w:val="0"/>
                <w:i w:val="0"/>
                <w:caps w:val="0"/>
                <w:color w:val="000000"/>
                <w:spacing w:val="0"/>
                <w:kern w:val="0"/>
                <w:sz w:val="24"/>
                <w:szCs w:val="24"/>
                <w:bdr w:val="none" w:color="auto" w:sz="0" w:space="0"/>
                <w:lang w:val="en-US" w:eastAsia="zh-CN" w:bidi="ar"/>
              </w:rPr>
              <w:t>27</w:t>
            </w:r>
            <w:r>
              <w:rPr>
                <w:rFonts w:hint="eastAsia" w:ascii="宋体" w:hAnsi="宋体" w:eastAsia="宋体" w:cs="宋体"/>
                <w:b w:val="0"/>
                <w:i w:val="0"/>
                <w:caps w:val="0"/>
                <w:color w:val="000000"/>
                <w:spacing w:val="0"/>
                <w:kern w:val="0"/>
                <w:sz w:val="24"/>
                <w:szCs w:val="24"/>
                <w:bdr w:val="none" w:color="auto" w:sz="0" w:space="0"/>
                <w:lang w:val="en-US" w:eastAsia="zh-CN" w:bidi="ar"/>
              </w:rPr>
              <w:t>日（周三）下午</w:t>
            </w:r>
            <w:r>
              <w:rPr>
                <w:rFonts w:hint="default" w:ascii="Arial" w:hAnsi="Arial" w:cs="Arial" w:eastAsiaTheme="minorEastAsia"/>
                <w:b w:val="0"/>
                <w:i w:val="0"/>
                <w:caps w:val="0"/>
                <w:color w:val="000000"/>
                <w:spacing w:val="0"/>
                <w:kern w:val="0"/>
                <w:sz w:val="24"/>
                <w:szCs w:val="24"/>
                <w:bdr w:val="none" w:color="auto" w:sz="0" w:space="0"/>
                <w:lang w:val="en-US" w:eastAsia="zh-CN" w:bidi="ar"/>
              </w:rPr>
              <w:t>1:30</w:t>
            </w:r>
          </w:p>
        </w:tc>
        <w:tc>
          <w:tcPr>
            <w:tcW w:w="59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综合面试英语面试</w:t>
            </w:r>
          </w:p>
        </w:tc>
        <w:tc>
          <w:tcPr>
            <w:tcW w:w="115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b w:val="0"/>
                <w:i w:val="0"/>
                <w:caps w:val="0"/>
                <w:color w:val="000000"/>
                <w:spacing w:val="0"/>
                <w:kern w:val="0"/>
                <w:sz w:val="24"/>
                <w:szCs w:val="24"/>
                <w:bdr w:val="none" w:color="auto" w:sz="0" w:space="0"/>
                <w:lang w:val="en-US" w:eastAsia="zh-CN" w:bidi="ar"/>
              </w:rPr>
              <w:t>详见后续通知</w:t>
            </w:r>
          </w:p>
        </w:tc>
        <w:tc>
          <w:tcPr>
            <w:tcW w:w="4218"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综合面试：满分</w:t>
            </w:r>
            <w:r>
              <w:rPr>
                <w:rFonts w:hint="default" w:ascii="Arial" w:hAnsi="Arial" w:cs="Arial" w:eastAsiaTheme="minorEastAsia"/>
                <w:b w:val="0"/>
                <w:i w:val="0"/>
                <w:caps w:val="0"/>
                <w:color w:val="000000"/>
                <w:spacing w:val="0"/>
                <w:kern w:val="0"/>
                <w:sz w:val="24"/>
                <w:szCs w:val="24"/>
                <w:bdr w:val="none" w:color="auto" w:sz="0" w:space="0"/>
                <w:lang w:val="en-US" w:eastAsia="zh-CN" w:bidi="ar"/>
              </w:rPr>
              <w:t>200</w:t>
            </w:r>
            <w:r>
              <w:rPr>
                <w:rFonts w:hint="eastAsia" w:ascii="宋体" w:hAnsi="宋体" w:eastAsia="宋体" w:cs="宋体"/>
                <w:b w:val="0"/>
                <w:i w:val="0"/>
                <w:caps w:val="0"/>
                <w:color w:val="000000"/>
                <w:spacing w:val="0"/>
                <w:kern w:val="0"/>
                <w:sz w:val="24"/>
                <w:szCs w:val="24"/>
                <w:bdr w:val="none" w:color="auto" w:sz="0" w:space="0"/>
                <w:lang w:val="en-US" w:eastAsia="zh-CN" w:bidi="ar"/>
              </w:rPr>
              <w:t>分，合格成绩应不低于</w:t>
            </w:r>
            <w:r>
              <w:rPr>
                <w:rFonts w:hint="default" w:ascii="Arial" w:hAnsi="Arial" w:cs="Arial" w:eastAsiaTheme="minorEastAsia"/>
                <w:b w:val="0"/>
                <w:i w:val="0"/>
                <w:caps w:val="0"/>
                <w:color w:val="000000"/>
                <w:spacing w:val="0"/>
                <w:kern w:val="0"/>
                <w:sz w:val="24"/>
                <w:szCs w:val="24"/>
                <w:bdr w:val="none" w:color="auto" w:sz="0" w:space="0"/>
                <w:lang w:val="en-US" w:eastAsia="zh-CN" w:bidi="ar"/>
              </w:rPr>
              <w:t>120</w:t>
            </w:r>
            <w:r>
              <w:rPr>
                <w:rFonts w:hint="eastAsia" w:ascii="宋体" w:hAnsi="宋体" w:eastAsia="宋体" w:cs="宋体"/>
                <w:b w:val="0"/>
                <w:i w:val="0"/>
                <w:caps w:val="0"/>
                <w:color w:val="000000"/>
                <w:spacing w:val="0"/>
                <w:kern w:val="0"/>
                <w:sz w:val="24"/>
                <w:szCs w:val="24"/>
                <w:bdr w:val="none" w:color="auto" w:sz="0" w:space="0"/>
                <w:lang w:val="en-US" w:eastAsia="zh-CN" w:bidi="ar"/>
              </w:rPr>
              <w:t>分；时间不少于</w:t>
            </w:r>
            <w:r>
              <w:rPr>
                <w:rFonts w:hint="default" w:ascii="Arial" w:hAnsi="Arial" w:cs="Arial" w:eastAsiaTheme="minorEastAsia"/>
                <w:b w:val="0"/>
                <w:i w:val="0"/>
                <w:caps w:val="0"/>
                <w:color w:val="000000"/>
                <w:spacing w:val="0"/>
                <w:kern w:val="0"/>
                <w:sz w:val="24"/>
                <w:szCs w:val="24"/>
                <w:bdr w:val="none" w:color="auto" w:sz="0" w:space="0"/>
                <w:lang w:val="en-US" w:eastAsia="zh-CN" w:bidi="ar"/>
              </w:rPr>
              <w:t>15</w:t>
            </w:r>
            <w:r>
              <w:rPr>
                <w:rFonts w:hint="eastAsia" w:ascii="宋体" w:hAnsi="宋体" w:eastAsia="宋体" w:cs="宋体"/>
                <w:b w:val="0"/>
                <w:i w:val="0"/>
                <w:caps w:val="0"/>
                <w:color w:val="000000"/>
                <w:spacing w:val="0"/>
                <w:kern w:val="0"/>
                <w:sz w:val="24"/>
                <w:szCs w:val="24"/>
                <w:bdr w:val="none" w:color="auto" w:sz="0" w:space="0"/>
                <w:lang w:val="en-US" w:eastAsia="zh-CN" w:bidi="ar"/>
              </w:rPr>
              <w:t>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英语面试：满分</w:t>
            </w:r>
            <w:r>
              <w:rPr>
                <w:rFonts w:hint="default" w:ascii="Arial" w:hAnsi="Arial" w:cs="Arial" w:eastAsiaTheme="minorEastAsia"/>
                <w:b w:val="0"/>
                <w:i w:val="0"/>
                <w:caps w:val="0"/>
                <w:color w:val="000000"/>
                <w:spacing w:val="0"/>
                <w:kern w:val="0"/>
                <w:sz w:val="24"/>
                <w:szCs w:val="24"/>
                <w:bdr w:val="none" w:color="auto" w:sz="0" w:space="0"/>
                <w:lang w:val="en-US" w:eastAsia="zh-CN" w:bidi="ar"/>
              </w:rPr>
              <w:t>100</w:t>
            </w:r>
            <w:r>
              <w:rPr>
                <w:rFonts w:hint="eastAsia" w:ascii="宋体" w:hAnsi="宋体" w:eastAsia="宋体" w:cs="宋体"/>
                <w:b w:val="0"/>
                <w:i w:val="0"/>
                <w:caps w:val="0"/>
                <w:color w:val="000000"/>
                <w:spacing w:val="0"/>
                <w:kern w:val="0"/>
                <w:sz w:val="24"/>
                <w:szCs w:val="24"/>
                <w:bdr w:val="none" w:color="auto" w:sz="0" w:space="0"/>
                <w:lang w:val="en-US" w:eastAsia="zh-CN" w:bidi="ar"/>
              </w:rPr>
              <w:t>分，其中口语</w:t>
            </w:r>
            <w:r>
              <w:rPr>
                <w:rFonts w:hint="default" w:ascii="Arial" w:hAnsi="Arial" w:cs="Arial" w:eastAsiaTheme="minorEastAsia"/>
                <w:b w:val="0"/>
                <w:i w:val="0"/>
                <w:caps w:val="0"/>
                <w:color w:val="000000"/>
                <w:spacing w:val="0"/>
                <w:kern w:val="0"/>
                <w:sz w:val="24"/>
                <w:szCs w:val="24"/>
                <w:bdr w:val="none" w:color="auto" w:sz="0" w:space="0"/>
                <w:lang w:val="en-US" w:eastAsia="zh-CN" w:bidi="ar"/>
              </w:rPr>
              <w:t>50</w:t>
            </w:r>
            <w:r>
              <w:rPr>
                <w:rFonts w:hint="eastAsia" w:ascii="宋体" w:hAnsi="宋体" w:eastAsia="宋体" w:cs="宋体"/>
                <w:b w:val="0"/>
                <w:i w:val="0"/>
                <w:caps w:val="0"/>
                <w:color w:val="000000"/>
                <w:spacing w:val="0"/>
                <w:kern w:val="0"/>
                <w:sz w:val="24"/>
                <w:szCs w:val="24"/>
                <w:bdr w:val="none" w:color="auto" w:sz="0" w:space="0"/>
                <w:lang w:val="en-US" w:eastAsia="zh-CN" w:bidi="ar"/>
              </w:rPr>
              <w:t>分、听力</w:t>
            </w:r>
            <w:r>
              <w:rPr>
                <w:rFonts w:hint="default" w:ascii="Arial" w:hAnsi="Arial" w:cs="Arial" w:eastAsiaTheme="minorEastAsia"/>
                <w:b w:val="0"/>
                <w:i w:val="0"/>
                <w:caps w:val="0"/>
                <w:color w:val="000000"/>
                <w:spacing w:val="0"/>
                <w:kern w:val="0"/>
                <w:sz w:val="24"/>
                <w:szCs w:val="24"/>
                <w:bdr w:val="none" w:color="auto" w:sz="0" w:space="0"/>
                <w:lang w:val="en-US" w:eastAsia="zh-CN" w:bidi="ar"/>
              </w:rPr>
              <w:t>50</w:t>
            </w:r>
            <w:r>
              <w:rPr>
                <w:rFonts w:hint="eastAsia" w:ascii="宋体" w:hAnsi="宋体" w:eastAsia="宋体" w:cs="宋体"/>
                <w:b w:val="0"/>
                <w:i w:val="0"/>
                <w:caps w:val="0"/>
                <w:color w:val="000000"/>
                <w:spacing w:val="0"/>
                <w:kern w:val="0"/>
                <w:sz w:val="24"/>
                <w:szCs w:val="24"/>
                <w:bdr w:val="none" w:color="auto" w:sz="0" w:space="0"/>
                <w:lang w:val="en-US" w:eastAsia="zh-CN" w:bidi="ar"/>
              </w:rPr>
              <w:t>分，合格成绩应不低于</w:t>
            </w:r>
            <w:r>
              <w:rPr>
                <w:rFonts w:hint="default" w:ascii="Arial" w:hAnsi="Arial" w:cs="Arial" w:eastAsiaTheme="minorEastAsia"/>
                <w:b w:val="0"/>
                <w:i w:val="0"/>
                <w:caps w:val="0"/>
                <w:color w:val="000000"/>
                <w:spacing w:val="0"/>
                <w:kern w:val="0"/>
                <w:sz w:val="24"/>
                <w:szCs w:val="24"/>
                <w:bdr w:val="none" w:color="auto" w:sz="0" w:space="0"/>
                <w:lang w:val="en-US" w:eastAsia="zh-CN" w:bidi="ar"/>
              </w:rPr>
              <w:t>60</w:t>
            </w:r>
            <w:r>
              <w:rPr>
                <w:rFonts w:hint="eastAsia" w:ascii="宋体" w:hAnsi="宋体" w:eastAsia="宋体" w:cs="宋体"/>
                <w:b w:val="0"/>
                <w:i w:val="0"/>
                <w:caps w:val="0"/>
                <w:color w:val="000000"/>
                <w:spacing w:val="0"/>
                <w:kern w:val="0"/>
                <w:sz w:val="24"/>
                <w:szCs w:val="24"/>
                <w:bdr w:val="none" w:color="auto" w:sz="0" w:space="0"/>
                <w:lang w:val="en-US" w:eastAsia="zh-CN" w:bidi="ar"/>
              </w:rPr>
              <w:t>分；时间不少于</w:t>
            </w:r>
            <w:r>
              <w:rPr>
                <w:rFonts w:hint="default" w:ascii="Arial" w:hAnsi="Arial" w:cs="Arial" w:eastAsiaTheme="minorEastAsia"/>
                <w:b w:val="0"/>
                <w:i w:val="0"/>
                <w:caps w:val="0"/>
                <w:color w:val="000000"/>
                <w:spacing w:val="0"/>
                <w:kern w:val="0"/>
                <w:sz w:val="24"/>
                <w:szCs w:val="24"/>
                <w:bdr w:val="none" w:color="auto" w:sz="0" w:space="0"/>
                <w:lang w:val="en-US" w:eastAsia="zh-CN" w:bidi="ar"/>
              </w:rPr>
              <w:t>5</w:t>
            </w:r>
            <w:r>
              <w:rPr>
                <w:rFonts w:hint="eastAsia" w:ascii="宋体" w:hAnsi="宋体" w:eastAsia="宋体" w:cs="宋体"/>
                <w:b w:val="0"/>
                <w:i w:val="0"/>
                <w:caps w:val="0"/>
                <w:color w:val="000000"/>
                <w:spacing w:val="0"/>
                <w:kern w:val="0"/>
                <w:sz w:val="24"/>
                <w:szCs w:val="24"/>
                <w:bdr w:val="none" w:color="auto" w:sz="0" w:space="0"/>
                <w:lang w:val="en-US" w:eastAsia="zh-CN" w:bidi="ar"/>
              </w:rPr>
              <w:t>分钟</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line="360" w:lineRule="atLeast"/>
        <w:ind w:left="0" w:right="0" w:firstLine="48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．登录电子科技大学研究生招生管理信息系统：</w: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begin"/>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instrText xml:space="preserve"> HYPERLINK "http://zsgl.uestc.edu.cn/ksxt/login.aspx" </w:instrTex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separate"/>
      </w:r>
      <w:r>
        <w:rPr>
          <w:rStyle w:val="7"/>
          <w:rFonts w:hint="default" w:ascii="Arial" w:hAnsi="Arial" w:cs="Arial"/>
          <w:b w:val="0"/>
          <w:i w:val="0"/>
          <w:caps w:val="0"/>
          <w:color w:val="auto"/>
          <w:spacing w:val="0"/>
          <w:sz w:val="21"/>
          <w:szCs w:val="21"/>
          <w:u w:val="none"/>
          <w:bdr w:val="none" w:color="auto" w:sz="0" w:space="0"/>
          <w:shd w:val="clear" w:fill="F7FDFF"/>
          <w:lang w:val="en-US"/>
        </w:rPr>
        <w:t>http://zsgl.uestc.edu.cn/ksxt/login.aspx</w: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end"/>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，选择</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复试信息确认</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和“调剂申请”模块进行复试和调剂。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．考生网上交纳复试费</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120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元（川发改价格</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[2017]467</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号），再自行打印复试通知单或调剂申请单。</w:t>
      </w: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截止时间：</w:t>
      </w: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月</w:t>
      </w: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20</w:t>
      </w: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日中午</w:t>
      </w: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12</w:t>
      </w: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w:t>
      </w: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00</w:t>
      </w: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．体检需在资格审查前完成，学院复试资格审查时，考生须提交近</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天内电子科技大学医院或二级以上医院体检报告，具体要求见《</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2019</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年电子科技大学研究生招生体检工作要求》，不合格者不予复试。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4</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．以同等学力参加复试的考生，</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040203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应用心理学加试《认知心理学》、《心理物理实验》。加试方式为笔试，每科满分</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100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分，考试时间</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120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分钟。加试成绩不计入复试总成绩。所有加试科目的成绩均须达到满分的</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，否则复试不合格。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三、复试内容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．专业笔试</w:t>
      </w:r>
    </w:p>
    <w:tbl>
      <w:tblPr>
        <w:tblW w:w="6946" w:type="dxa"/>
        <w:tblInd w:w="0" w:type="dxa"/>
        <w:shd w:val="clear" w:color="auto" w:fill="F7FDFF"/>
        <w:tblLayout w:type="fixed"/>
        <w:tblCellMar>
          <w:top w:w="0" w:type="dxa"/>
          <w:left w:w="0" w:type="dxa"/>
          <w:bottom w:w="0" w:type="dxa"/>
          <w:right w:w="0" w:type="dxa"/>
        </w:tblCellMar>
      </w:tblPr>
      <w:tblGrid>
        <w:gridCol w:w="1825"/>
        <w:gridCol w:w="5121"/>
      </w:tblGrid>
      <w:tr>
        <w:tblPrEx>
          <w:shd w:val="clear" w:color="auto" w:fill="F7FDFF"/>
          <w:tblLayout w:type="fixed"/>
          <w:tblCellMar>
            <w:top w:w="0" w:type="dxa"/>
            <w:left w:w="0" w:type="dxa"/>
            <w:bottom w:w="0" w:type="dxa"/>
            <w:right w:w="0" w:type="dxa"/>
          </w:tblCellMar>
        </w:tblPrEx>
        <w:trPr>
          <w:trHeight w:val="476" w:hRule="atLeast"/>
        </w:trPr>
        <w:tc>
          <w:tcPr>
            <w:tcW w:w="1825" w:type="dxa"/>
            <w:tcBorders>
              <w:top w:val="single" w:color="auto" w:sz="8" w:space="0"/>
              <w:left w:val="single" w:color="auto" w:sz="8" w:space="0"/>
              <w:bottom w:val="single" w:color="auto" w:sz="8" w:space="0"/>
              <w:right w:val="single" w:color="auto" w:sz="8" w:space="0"/>
            </w:tcBorders>
            <w:shd w:val="clear" w:color="auto" w:fill="F7FD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2"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笔试科目</w:t>
            </w:r>
          </w:p>
        </w:tc>
        <w:tc>
          <w:tcPr>
            <w:tcW w:w="5121" w:type="dxa"/>
            <w:tcBorders>
              <w:top w:val="single" w:color="auto" w:sz="8" w:space="0"/>
              <w:left w:val="nil"/>
              <w:bottom w:val="single" w:color="auto" w:sz="8" w:space="0"/>
              <w:right w:val="single" w:color="auto" w:sz="8" w:space="0"/>
            </w:tcBorders>
            <w:shd w:val="clear" w:color="auto" w:fill="F7FD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2"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复试科目</w:t>
            </w:r>
          </w:p>
        </w:tc>
      </w:tr>
      <w:tr>
        <w:tblPrEx>
          <w:shd w:val="clear" w:color="auto" w:fill="F7FDFF"/>
          <w:tblLayout w:type="fixed"/>
          <w:tblCellMar>
            <w:top w:w="0" w:type="dxa"/>
            <w:left w:w="0" w:type="dxa"/>
            <w:bottom w:w="0" w:type="dxa"/>
            <w:right w:w="0" w:type="dxa"/>
          </w:tblCellMar>
        </w:tblPrEx>
        <w:trPr>
          <w:trHeight w:val="476" w:hRule="atLeast"/>
        </w:trPr>
        <w:tc>
          <w:tcPr>
            <w:tcW w:w="1825" w:type="dxa"/>
            <w:tcBorders>
              <w:top w:val="nil"/>
              <w:left w:val="single" w:color="auto" w:sz="8" w:space="0"/>
              <w:bottom w:val="single" w:color="auto" w:sz="8" w:space="0"/>
              <w:right w:val="single" w:color="auto" w:sz="8" w:space="0"/>
            </w:tcBorders>
            <w:shd w:val="clear" w:color="auto" w:fill="F7FD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2"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040203</w:t>
            </w:r>
          </w:p>
        </w:tc>
        <w:tc>
          <w:tcPr>
            <w:tcW w:w="5121" w:type="dxa"/>
            <w:tcBorders>
              <w:top w:val="nil"/>
              <w:left w:val="nil"/>
              <w:bottom w:val="single" w:color="auto" w:sz="8" w:space="0"/>
              <w:right w:val="single" w:color="auto" w:sz="8" w:space="0"/>
            </w:tcBorders>
            <w:shd w:val="clear" w:color="auto" w:fill="F7FD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2" w:lineRule="atLeast"/>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认知神经心理学</w:t>
            </w:r>
          </w:p>
        </w:tc>
      </w:tr>
      <w:tr>
        <w:tblPrEx>
          <w:shd w:val="clear" w:color="auto" w:fill="F7FDFF"/>
          <w:tblLayout w:type="fixed"/>
          <w:tblCellMar>
            <w:top w:w="0" w:type="dxa"/>
            <w:left w:w="0" w:type="dxa"/>
            <w:bottom w:w="0" w:type="dxa"/>
            <w:right w:w="0" w:type="dxa"/>
          </w:tblCellMar>
        </w:tblPrEx>
        <w:trPr>
          <w:trHeight w:val="476" w:hRule="atLeast"/>
        </w:trPr>
        <w:tc>
          <w:tcPr>
            <w:tcW w:w="1825" w:type="dxa"/>
            <w:tcBorders>
              <w:top w:val="nil"/>
              <w:left w:val="single" w:color="auto" w:sz="8" w:space="0"/>
              <w:bottom w:val="single" w:color="auto" w:sz="8" w:space="0"/>
              <w:right w:val="single" w:color="auto" w:sz="8" w:space="0"/>
            </w:tcBorders>
            <w:shd w:val="clear" w:color="auto" w:fill="F7FD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2"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071000</w:t>
            </w:r>
          </w:p>
        </w:tc>
        <w:tc>
          <w:tcPr>
            <w:tcW w:w="5121" w:type="dxa"/>
            <w:tcBorders>
              <w:top w:val="nil"/>
              <w:left w:val="nil"/>
              <w:bottom w:val="single" w:color="auto" w:sz="8" w:space="0"/>
              <w:right w:val="single" w:color="auto" w:sz="8" w:space="0"/>
            </w:tcBorders>
            <w:shd w:val="clear" w:color="auto" w:fill="F7FD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2" w:lineRule="atLeast"/>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生物化学（01方向）/生命科学导论（02、04、05、06方向）/生理学（03方向）</w:t>
            </w:r>
          </w:p>
        </w:tc>
      </w:tr>
      <w:tr>
        <w:tblPrEx>
          <w:tblLayout w:type="fixed"/>
          <w:tblCellMar>
            <w:top w:w="0" w:type="dxa"/>
            <w:left w:w="0" w:type="dxa"/>
            <w:bottom w:w="0" w:type="dxa"/>
            <w:right w:w="0" w:type="dxa"/>
          </w:tblCellMar>
        </w:tblPrEx>
        <w:trPr>
          <w:trHeight w:val="476" w:hRule="atLeast"/>
        </w:trPr>
        <w:tc>
          <w:tcPr>
            <w:tcW w:w="1825" w:type="dxa"/>
            <w:tcBorders>
              <w:top w:val="nil"/>
              <w:left w:val="single" w:color="auto" w:sz="8" w:space="0"/>
              <w:bottom w:val="single" w:color="auto" w:sz="8" w:space="0"/>
              <w:right w:val="single" w:color="auto" w:sz="8" w:space="0"/>
            </w:tcBorders>
            <w:shd w:val="clear" w:color="auto" w:fill="F7FD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2"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083100</w:t>
            </w:r>
          </w:p>
        </w:tc>
        <w:tc>
          <w:tcPr>
            <w:tcW w:w="5121" w:type="dxa"/>
            <w:tcBorders>
              <w:top w:val="nil"/>
              <w:left w:val="nil"/>
              <w:bottom w:val="single" w:color="auto" w:sz="8" w:space="0"/>
              <w:right w:val="single" w:color="auto" w:sz="8" w:space="0"/>
            </w:tcBorders>
            <w:shd w:val="clear" w:color="auto" w:fill="F7FD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2" w:lineRule="atLeast"/>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数字电路/数字信号处理 二选一</w:t>
            </w:r>
          </w:p>
        </w:tc>
      </w:tr>
      <w:tr>
        <w:tblPrEx>
          <w:shd w:val="clear" w:color="auto" w:fill="F7FDFF"/>
          <w:tblLayout w:type="fixed"/>
          <w:tblCellMar>
            <w:top w:w="0" w:type="dxa"/>
            <w:left w:w="0" w:type="dxa"/>
            <w:bottom w:w="0" w:type="dxa"/>
            <w:right w:w="0" w:type="dxa"/>
          </w:tblCellMar>
        </w:tblPrEx>
        <w:trPr>
          <w:trHeight w:val="476" w:hRule="atLeast"/>
        </w:trPr>
        <w:tc>
          <w:tcPr>
            <w:tcW w:w="1825"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2"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085230（全日制）</w:t>
            </w:r>
          </w:p>
        </w:tc>
        <w:tc>
          <w:tcPr>
            <w:tcW w:w="512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2" w:lineRule="atLeast"/>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数字电路/数字信号处理 二选一</w:t>
            </w:r>
          </w:p>
        </w:tc>
      </w:tr>
      <w:tr>
        <w:tblPrEx>
          <w:tblLayout w:type="fixed"/>
          <w:tblCellMar>
            <w:top w:w="0" w:type="dxa"/>
            <w:left w:w="0" w:type="dxa"/>
            <w:bottom w:w="0" w:type="dxa"/>
            <w:right w:w="0" w:type="dxa"/>
          </w:tblCellMar>
        </w:tblPrEx>
        <w:trPr>
          <w:trHeight w:val="476" w:hRule="atLeast"/>
        </w:trPr>
        <w:tc>
          <w:tcPr>
            <w:tcW w:w="1825"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2" w:lineRule="atLeast"/>
              <w:ind w:left="0" w:right="0"/>
              <w:jc w:val="center"/>
            </w:pPr>
            <w:r>
              <w:rPr>
                <w:rFonts w:hint="eastAsia" w:ascii="宋体" w:hAnsi="宋体" w:eastAsia="宋体" w:cs="宋体"/>
                <w:b/>
                <w:i w:val="0"/>
                <w:caps w:val="0"/>
                <w:color w:val="000000"/>
                <w:spacing w:val="0"/>
                <w:kern w:val="0"/>
                <w:sz w:val="20"/>
                <w:szCs w:val="20"/>
                <w:bdr w:val="none" w:color="auto" w:sz="0" w:space="0"/>
                <w:lang w:val="en-US" w:eastAsia="zh-CN" w:bidi="ar"/>
              </w:rPr>
              <w:t>085230（非全日制）</w:t>
            </w:r>
          </w:p>
        </w:tc>
        <w:tc>
          <w:tcPr>
            <w:tcW w:w="512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42" w:lineRule="atLeast"/>
              <w:ind w:left="0" w:right="0"/>
              <w:jc w:val="center"/>
            </w:pPr>
            <w:r>
              <w:rPr>
                <w:rFonts w:hint="eastAsia" w:ascii="宋体" w:hAnsi="宋体" w:eastAsia="宋体" w:cs="宋体"/>
                <w:b w:val="0"/>
                <w:i w:val="0"/>
                <w:caps w:val="0"/>
                <w:color w:val="000000"/>
                <w:spacing w:val="0"/>
                <w:kern w:val="0"/>
                <w:sz w:val="20"/>
                <w:szCs w:val="20"/>
                <w:bdr w:val="none" w:color="auto" w:sz="0" w:space="0"/>
                <w:lang w:val="en-US" w:eastAsia="zh-CN" w:bidi="ar"/>
              </w:rPr>
              <w:t>数字电路/数字信号处理 二选一</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．综合面试和英语面试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综合面试由复试专家组自主提问。包括专业素质和能力（大学阶段学习情况及成绩，对本学科理论知识和应用技能掌握程度，利用所学理论发现、分析和解决问题的能力，对本学科发展动态的了解和在本专业领域发展的潜力，创新意识）、综合素质和能力（思想政治素质和道德品质等，本学科以外的学习、科研、社会实践或实际工作表现等，事业心、责任感、纪律性、协作性和心理健康情况，人文素养，举止、表达和礼仪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英语面试由复试专家组对考生的口语和听力进行测试。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四、关于填报意向导师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．无论初试报名是否填报意向导师信息，考生均须在复试</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调剂报名时登录电子科技大学研究生招生管理信息系统</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http://zsgl.uestc.edu.cn/ksxt/login.aspx</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重新填报意向导师，导师信息可在我校研招网上查询，同一专业更换意向导师不算调剂。考生在填报意向导师时，可在“个人备注栏”多填写</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位意向导师供调剂录取参考。请于</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日（周三）</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12:00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前登陆</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http://zsgl.uestc.edu.cn/ksxt/login.aspx</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填报，并于</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25</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日（周一）资格审查时进行现场确认，不接收现场填报意向导师。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．考生录取专业必须与选定意向导师在招生简章上的招生专业名称相同。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五、放弃第一志愿的规定及操作流程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第一志愿已上线或已申请调剂的考生，想放弃原志愿，须由本人提出如下内容的书面申请：本人经审慎考虑，虽然已上线可以参加复试，仍然决定放弃原志愿进行校内调剂，并知悉“第一志愿、院内调剂、校内调剂、校外调剂”的录取优先顺序（附考生编号、本人签名、需放弃的原志愿学院和专业、日期）。说明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、书面申请交至生命学院研究生科（沙河校区主楼中</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256</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）办理，方可重新申请调剂；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、办理时间：</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2019</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年</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12-15</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日（工作日</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8:30-11:30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14:30-17:00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六、关于调剂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、符合《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2019</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年电子科技大学全国硕士研究生招生考试复试工作安排通知》规定，且满足调剂要求的考生，可以申请调剂到相应专业；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、考生登录电子科技大学研究生招生管理信息系统</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http://zsgl.uestc.edu.cn/ksxt/login.aspx</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填报调剂申请。生命学院以该系统的调剂申请为准，不接受电话、邮件、来人来函等其他方式申请调剂。考生请务必于</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2019</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年</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日上午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00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前登录该系统，完善调剂信息、缴纳复试费并打印调剂申请单。生命学院将于</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2019</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年</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日上午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12:00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关闭该系统，系统关闭后将不能进行任何操作。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、第一志愿报考生命学院工学对应专业未被拟录取，考生如愿意申请或调剂到</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085230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生物医学工程（全日制、非全日制专业学位），请在电子科技大学研究生招生管理信息系统中“是</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否同意调剂”填写“是”，并在“个人备注栏”填写“愿意调剂全日制专硕”或“愿意调剂非全日制专硕”。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七、拟录取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．总成绩计算方法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复试总成绩＝专业笔试成绩＋英语面试成绩＋综合面试成绩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总成绩＝初试总成绩＋复试总成绩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．录取原则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）报考全日制：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315"/>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 </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按报考的第一志愿专业总成绩（初试</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复试）从高到低依次择优录取，复试总分及单项成绩均达到满分的</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才能被录取。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）报考非全日制：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①录取优先顺序为：第一志愿、院内调剂、校内调剂；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②同一优先级按总成绩（初试</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复试）从高到低依次择优录取，复试总分及单项成绩均达到满分的</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才能被录取。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．未被录取考生可申请调剂其他单位。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2"/>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八、其它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．复试通知单或调剂申请单请在电子科技大学研究生招生网自行打印。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．复试成绩公示：按照学校的要求，由研究生院统一公示，学院不单独公示。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．拟录取名单公布：最终拟录取名单由研究生院统一公布，学院不单独公布。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4</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．招生信息公布渠道：复试相关具体安排将公布在电子科技大学研究生招生网</w: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begin"/>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instrText xml:space="preserve"> HYPERLINK "http://yz.uestc.edu.cn/" </w:instrTex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separate"/>
      </w:r>
      <w:r>
        <w:rPr>
          <w:rStyle w:val="7"/>
          <w:rFonts w:hint="default" w:ascii="Arial" w:hAnsi="Arial" w:cs="Arial"/>
          <w:b w:val="0"/>
          <w:i w:val="0"/>
          <w:caps w:val="0"/>
          <w:color w:val="auto"/>
          <w:spacing w:val="0"/>
          <w:sz w:val="21"/>
          <w:szCs w:val="21"/>
          <w:u w:val="none"/>
          <w:bdr w:val="none" w:color="auto" w:sz="0" w:space="0"/>
          <w:shd w:val="clear" w:fill="F7FDFF"/>
          <w:lang w:val="en-US"/>
        </w:rPr>
        <w:t>http://yz.uestc.edu.cn/</w:t>
      </w:r>
      <w:r>
        <w:rPr>
          <w:rFonts w:hint="default" w:ascii="Arial" w:hAnsi="Arial" w:cs="Arial" w:eastAsiaTheme="minorEastAsia"/>
          <w:b w:val="0"/>
          <w:i w:val="0"/>
          <w:caps w:val="0"/>
          <w:color w:val="333333"/>
          <w:spacing w:val="0"/>
          <w:kern w:val="0"/>
          <w:sz w:val="21"/>
          <w:szCs w:val="21"/>
          <w:u w:val="none"/>
          <w:bdr w:val="none" w:color="auto" w:sz="0" w:space="0"/>
          <w:shd w:val="clear" w:fill="F7FD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5</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．生命科学与技术学院研究生科联系电话：</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028-83204117</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，非全日制研究生联系电话：</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028-83204117</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．复试过程坚持公平、公正、公开的原则，学院研究生招生工作小组、复试工作小组负责复试过程的监督与复试工作。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7</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．未上生命科学与技术学院复试及调剂分数线的考生直接到电子科技大学研招网打印</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调剂申请单</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，到接收学院办理调剂、复试手续。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8</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．其他未尽事项完全参照学校要求进行。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3041D9"/>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2019-04-17T08:44:28Z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