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以提高人才选拔质量和维护教育公平为出发点，坚持科学选拔、公平公正、全面考查、客观评价、以人为本的工作原则。</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学院成立研究生招生工作领导小组，对复试工作进行领导和统筹管理。各系</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中心组织成立复试小组，各复试小组成员不少于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人，由责任心强、教学经验丰富、学术和外语水平较高的人员组成（副教授职称以上不少于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人）。复试小组成员对考生进行公平、公正、科学、合理的评分及评价，并提出是否拟录取意见。</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三、复试名单确定细则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在不低于全国初试成绩基本要求的基础上，我院根据学科专业特点和统考招生计划、报考生源等情况确定各专业复试分数线</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复试分数线经学校审定后由我校研究生院统一公布。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日（周一）报到。考生报到时接受资格审核，不符合条件者不予参加复试。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日（周一）傍晚以及</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日（周二）全天。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复试通知详情将通过邮件发送。</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在报到时请考生到院系进行资格审查。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、初试准考证（如丢失请报到前登录中国研招网系统打印）；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六、复试内容及分值：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（一）复试内容，由考生抽签决定面试顺序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）专业课考试。采取上机考试的形式，考试时间为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小时，满分为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分，重点考察考生专业知识及运用所学理论分析、解决问题的能力。此项得分值为成绩</w:t>
      </w:r>
      <w:r>
        <w:rPr>
          <w:rStyle w:val="6"/>
          <w:rFonts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）综合能力和应用能力考核。采取口试的形式，满分为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分，考生回答面试小组提出的问题，由面试小组成员各自打分，取平均分为该部分成绩。此项得分值成绩</w:t>
      </w:r>
      <w:r>
        <w:rPr>
          <w:rStyle w:val="6"/>
          <w:rFonts w:hint="default"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）外语能力测试。满分为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分，考生现场抽取专业英文材料并翻译，用英文进行日常对话，回答问题。此项得分值为成绩</w:t>
      </w:r>
      <w:r>
        <w:rPr>
          <w:rStyle w:val="6"/>
          <w:rFonts w:hint="default"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（二）复试成绩计算办法：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复试总分满分为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200+200+100=500</w:t>
      </w:r>
      <w:r>
        <w:rPr>
          <w:rFonts w:hint="eastAsia" w:ascii="宋体" w:hAnsi="宋体" w:eastAsia="宋体" w:cs="宋体"/>
          <w:b w:val="0"/>
          <w:i w:val="0"/>
          <w:caps w:val="0"/>
          <w:color w:val="000000"/>
          <w:spacing w:val="0"/>
          <w:kern w:val="0"/>
          <w:sz w:val="24"/>
          <w:szCs w:val="24"/>
          <w:shd w:val="clear" w:fill="FFFFFF"/>
          <w:lang w:val="en-US" w:eastAsia="zh-CN" w:bidi="ar"/>
        </w:rPr>
        <w:t>。复试总分</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计算机科学技术系计算机技术专业</w:t>
      </w:r>
      <w:r>
        <w:rPr>
          <w:rStyle w:val="6"/>
          <w:rFonts w:hint="eastAsia" w:ascii="宋体" w:hAnsi="宋体" w:eastAsia="宋体" w:cs="宋体"/>
          <w:i w:val="0"/>
          <w:caps w:val="0"/>
          <w:color w:val="000000"/>
          <w:spacing w:val="0"/>
          <w:kern w:val="0"/>
          <w:sz w:val="24"/>
          <w:szCs w:val="24"/>
          <w:shd w:val="clear" w:fill="FFFFFF"/>
          <w:lang w:val="en-US" w:eastAsia="zh-CN" w:bidi="ar"/>
        </w:rPr>
        <w:t>非全日制</w:t>
      </w:r>
      <w:r>
        <w:rPr>
          <w:rFonts w:hint="eastAsia" w:ascii="宋体" w:hAnsi="宋体" w:eastAsia="宋体" w:cs="宋体"/>
          <w:b w:val="0"/>
          <w:i w:val="0"/>
          <w:caps w:val="0"/>
          <w:color w:val="000000"/>
          <w:spacing w:val="0"/>
          <w:kern w:val="0"/>
          <w:sz w:val="24"/>
          <w:szCs w:val="24"/>
          <w:shd w:val="clear" w:fill="FFFFFF"/>
          <w:lang w:val="en-US" w:eastAsia="zh-CN" w:bidi="ar"/>
        </w:rPr>
        <w:t>招生调剂考生，参考《华东师范大学</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年硕士研究生调剂复试的通知》。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九、招生体检及其它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十、其他问题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1、复试期间若发现考生考试违纪、思想政治素质和品德考核等不符合录取标准的，不予拟录取。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2、对复试不合格的或复试合格经排序未能拟录取的考生不予拟录取。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对复试工作过程监督，严肃处理违纪违规事件，实行责任制度和责任追究制度。学院保证投诉、申诉和监督渠道的畅通。严格执行招生政策和规定，严肃招生纪律，坚持公平、公正，维护研究生招生工作的良好信誉和国家研究生学历教育招生考试制度的公信力。</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院系联系方式，电话:021-62233675   电子信箱：wnta@cs.ecnu.edu.cn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E073ABC"/>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