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号）和《教育部关于印发〈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号）精神，结合我校研究生招生工作的具体情况，特制订本办法。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美术学院成立以研究生分管领导为组长的领导小组，在校研究生招生工作领导小组的全面指导和监督下，加强对本院复试工作的组织协调和统筹管理，制订复试方案并组织实施。指导各复试小组进行相应的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美术学院各学科、专业特点和统考招生计划、报考生源等情况确定本单位相关复试分数线（已由研究生院官网公布）。达到我院复试分数线的考生全部参加复试，择优录取。我院各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我院复试时间初步为</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29</w:t>
      </w:r>
      <w:r>
        <w:rPr>
          <w:rFonts w:hint="eastAsia" w:ascii="宋体" w:hAnsi="宋体" w:eastAsia="宋体" w:cs="宋体"/>
          <w:b w:val="0"/>
          <w:i w:val="0"/>
          <w:caps w:val="0"/>
          <w:color w:val="000000"/>
          <w:spacing w:val="0"/>
          <w:kern w:val="0"/>
          <w:sz w:val="24"/>
          <w:szCs w:val="24"/>
          <w:shd w:val="clear" w:fill="FFFFFF"/>
          <w:lang w:val="en-US" w:eastAsia="zh-CN" w:bidi="ar"/>
        </w:rPr>
        <w:t>日，报到地点：上海市闵行区东川路</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号华东师范大学美术学院</w:t>
      </w:r>
      <w:r>
        <w:rPr>
          <w:rFonts w:hint="default" w:ascii="Calibri" w:hAnsi="Calibri" w:cs="Calibri" w:eastAsiaTheme="minorEastAsia"/>
          <w:b w:val="0"/>
          <w:i w:val="0"/>
          <w:caps w:val="0"/>
          <w:color w:val="000000"/>
          <w:spacing w:val="0"/>
          <w:kern w:val="0"/>
          <w:sz w:val="24"/>
          <w:szCs w:val="24"/>
          <w:shd w:val="clear" w:fill="FFFFFF"/>
          <w:lang w:val="en-US" w:eastAsia="zh-CN" w:bidi="ar"/>
        </w:rPr>
        <w:t>220</w:t>
      </w:r>
      <w:r>
        <w:rPr>
          <w:rFonts w:hint="eastAsia" w:ascii="宋体" w:hAnsi="宋体" w:eastAsia="宋体" w:cs="宋体"/>
          <w:b w:val="0"/>
          <w:i w:val="0"/>
          <w:caps w:val="0"/>
          <w:color w:val="000000"/>
          <w:spacing w:val="0"/>
          <w:kern w:val="0"/>
          <w:sz w:val="24"/>
          <w:szCs w:val="24"/>
          <w:shd w:val="clear" w:fill="FFFFFF"/>
          <w:lang w:val="en-US" w:eastAsia="zh-CN" w:bidi="ar"/>
        </w:rPr>
        <w:t>室，具体复试日程详见邮件。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在复试前请考生到我院进行资格审查。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、科研、创作成果以及证明自己研究、创作潜能的相关材料。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根据学校要求，</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年美术学院研究生考试复试内容为：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60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外语考试：分口语与听力考核，每人</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分钟，满分</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60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专业考试：闭卷笔试，考试时间为</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分钟，满分</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60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综合面试：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主要考核学习能力、创新能力、动手能力、灵活运用知识能力、口头与书面表达能力等。考核形式为面试，每人</w:t>
      </w:r>
      <w:r>
        <w:rPr>
          <w:rFonts w:hint="default" w:ascii="Calibri" w:hAnsi="Calibri" w:cs="Calibri" w:eastAsiaTheme="minorEastAsia"/>
          <w:b w:val="0"/>
          <w:i w:val="0"/>
          <w:caps w:val="0"/>
          <w:color w:val="000000"/>
          <w:spacing w:val="0"/>
          <w:kern w:val="0"/>
          <w:sz w:val="24"/>
          <w:szCs w:val="24"/>
          <w:shd w:val="clear" w:fill="FFFFFF"/>
          <w:lang w:val="en-US" w:eastAsia="zh-CN" w:bidi="ar"/>
        </w:rPr>
        <w:t>15</w:t>
      </w:r>
      <w:r>
        <w:rPr>
          <w:rFonts w:hint="eastAsia" w:ascii="宋体" w:hAnsi="宋体" w:eastAsia="宋体" w:cs="宋体"/>
          <w:b w:val="0"/>
          <w:i w:val="0"/>
          <w:caps w:val="0"/>
          <w:color w:val="000000"/>
          <w:spacing w:val="0"/>
          <w:kern w:val="0"/>
          <w:sz w:val="24"/>
          <w:szCs w:val="24"/>
          <w:shd w:val="clear" w:fill="FFFFFF"/>
          <w:lang w:val="en-US" w:eastAsia="zh-CN" w:bidi="ar"/>
        </w:rPr>
        <w:t>分钟，满分</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60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品德修养考核：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600"/>
        <w:jc w:val="left"/>
      </w:pPr>
      <w:r>
        <w:rPr>
          <w:rFonts w:hint="eastAsia" w:ascii="宋体" w:hAnsi="宋体" w:eastAsia="宋体" w:cs="宋体"/>
          <w:b w:val="0"/>
          <w:i w:val="0"/>
          <w:caps w:val="0"/>
          <w:color w:val="000000"/>
          <w:spacing w:val="0"/>
          <w:kern w:val="0"/>
          <w:sz w:val="24"/>
          <w:szCs w:val="24"/>
          <w:shd w:val="clear" w:fill="FFFFFF"/>
          <w:lang w:val="en-US" w:eastAsia="zh-CN" w:bidi="ar"/>
        </w:rPr>
        <w:t>包括复试和后续政审两个阶段的考核。主要从专业操守、职业伦理、个人素养、学术规范以及相关的法律法规、社会主义核心价值观等进行重点考察。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60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复试成绩计算方法：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60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外语成绩（</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专业成绩（</w:t>
      </w:r>
      <w:r>
        <w:rPr>
          <w:rFonts w:hint="default" w:ascii="Calibri" w:hAnsi="Calibri" w:cs="Calibri" w:eastAsiaTheme="minorEastAsia"/>
          <w:b w:val="0"/>
          <w:i w:val="0"/>
          <w:caps w:val="0"/>
          <w:color w:val="000000"/>
          <w:spacing w:val="0"/>
          <w:kern w:val="0"/>
          <w:sz w:val="24"/>
          <w:szCs w:val="24"/>
          <w:shd w:val="clear" w:fill="FFFFFF"/>
          <w:lang w:val="en-US" w:eastAsia="zh-CN" w:bidi="ar"/>
        </w:rPr>
        <w:t>100x2</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综合面试成绩（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100x2</w:t>
      </w:r>
      <w:r>
        <w:rPr>
          <w:rFonts w:hint="eastAsia" w:ascii="宋体" w:hAnsi="宋体" w:eastAsia="宋体" w:cs="宋体"/>
          <w:b w:val="0"/>
          <w:i w:val="0"/>
          <w:caps w:val="0"/>
          <w:color w:val="000000"/>
          <w:spacing w:val="0"/>
          <w:kern w:val="0"/>
          <w:sz w:val="24"/>
          <w:szCs w:val="24"/>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600"/>
        <w:jc w:val="left"/>
      </w:pPr>
      <w:r>
        <w:rPr>
          <w:rFonts w:hint="eastAsia" w:ascii="宋体" w:hAnsi="宋体" w:eastAsia="宋体" w:cs="宋体"/>
          <w:b w:val="0"/>
          <w:i w:val="0"/>
          <w:caps w:val="0"/>
          <w:color w:val="000000"/>
          <w:spacing w:val="0"/>
          <w:kern w:val="0"/>
          <w:sz w:val="24"/>
          <w:szCs w:val="24"/>
          <w:shd w:val="clear" w:fill="FFFFFF"/>
          <w:lang w:val="en-US" w:eastAsia="zh-CN" w:bidi="ar"/>
        </w:rPr>
        <w:t>复试单科成绩不及格者不予录取；复试总成绩大于等于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美术学院不接收调剂。</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我校招生体检跟新生入学体检合并。即在新生报到后的三个月新生复查期间进行体检。体检不合格的再依据相关规定取消入学资格或者进行其他学籍处理。详细信息请参照《华东师范大学</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年硕士研究生招生复试工作办法》执行。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、加试：同等学力考生和以成人高等学历教育应届本科毕业生身份报考的考生，及复试时不能提交本科毕业证书的但可在</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hint="default" w:ascii="Calibri" w:hAnsi="Calibri" w:cs="Calibri" w:eastAsiaTheme="minorEastAsia"/>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美术学院招生工作联系方式：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地址：上海市闵行区东川路</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号华东师范大学美术学院</w:t>
      </w:r>
      <w:r>
        <w:rPr>
          <w:rFonts w:hint="default" w:ascii="Calibri" w:hAnsi="Calibri" w:cs="Calibri" w:eastAsiaTheme="minorEastAsia"/>
          <w:b w:val="0"/>
          <w:i w:val="0"/>
          <w:caps w:val="0"/>
          <w:color w:val="000000"/>
          <w:spacing w:val="0"/>
          <w:kern w:val="0"/>
          <w:sz w:val="24"/>
          <w:szCs w:val="24"/>
          <w:shd w:val="clear" w:fill="FFFFFF"/>
          <w:lang w:val="en-US" w:eastAsia="zh-CN" w:bidi="ar"/>
        </w:rPr>
        <w:t>236/238</w:t>
      </w:r>
      <w:r>
        <w:rPr>
          <w:rFonts w:hint="eastAsia" w:ascii="宋体" w:hAnsi="宋体" w:eastAsia="宋体" w:cs="宋体"/>
          <w:b w:val="0"/>
          <w:i w:val="0"/>
          <w:caps w:val="0"/>
          <w:color w:val="000000"/>
          <w:spacing w:val="0"/>
          <w:kern w:val="0"/>
          <w:sz w:val="24"/>
          <w:szCs w:val="24"/>
          <w:shd w:val="clear" w:fill="FFFFFF"/>
          <w:lang w:val="en-US" w:eastAsia="zh-CN" w:bidi="ar"/>
        </w:rPr>
        <w:t>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021-54345332</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邮箱：</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begin"/>
      </w:r>
      <w:r>
        <w:rPr>
          <w:rFonts w:asciiTheme="minorHAnsi" w:hAnsiTheme="minorHAnsi" w:eastAsiaTheme="minorEastAsia" w:cstheme="minorBidi"/>
          <w:b w:val="0"/>
          <w:i w:val="0"/>
          <w:caps w:val="0"/>
          <w:spacing w:val="0"/>
          <w:kern w:val="0"/>
          <w:sz w:val="24"/>
          <w:szCs w:val="24"/>
          <w:shd w:val="clear" w:fill="FFFFFF"/>
          <w:lang w:val="en-US" w:eastAsia="zh-CN" w:bidi="ar"/>
        </w:rPr>
        <w:instrText xml:space="preserve"> HYPERLINK "mailto:rgzhang@art.ecnu.edu.cn" </w:instrTex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separate"/>
      </w:r>
      <w:r>
        <w:rPr>
          <w:rStyle w:val="7"/>
          <w:rFonts w:hint="default" w:ascii="Calibri" w:hAnsi="Calibri" w:cs="Calibri"/>
          <w:b w:val="0"/>
          <w:i w:val="0"/>
          <w:caps w:val="0"/>
          <w:color w:val="0000FF"/>
          <w:spacing w:val="0"/>
          <w:sz w:val="24"/>
          <w:szCs w:val="24"/>
          <w:shd w:val="clear" w:fill="FFFFFF"/>
          <w:lang w:val="en-US"/>
        </w:rPr>
        <w:t>rgzhang@art.ecnu.edu.cn</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end"/>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联系人：张老师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研究生招生办，电话：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021-54344721</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yjszs@admin.ecnu.edu.cn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3DA5F1F"/>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