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293" w:lineRule="atLeast"/>
        <w:ind w:left="0" w:right="0"/>
        <w:jc w:val="left"/>
      </w:pPr>
      <w:r>
        <w:rPr>
          <w:rFonts w:hint="eastAsia" w:ascii="宋体" w:hAnsi="宋体" w:eastAsia="宋体" w:cs="宋体"/>
          <w:i w:val="0"/>
          <w:caps w:val="0"/>
          <w:color w:val="000000"/>
          <w:spacing w:val="0"/>
          <w:kern w:val="0"/>
          <w:sz w:val="24"/>
          <w:szCs w:val="24"/>
          <w:shd w:val="clear" w:fill="FFFFFF"/>
          <w:lang w:val="en-US" w:eastAsia="zh-CN" w:bidi="ar"/>
        </w:rPr>
        <w:t>一、工作原则</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我院成立以研究生分管领导担任组长的领导小组，以加强对复试工作的领导和统筹管理，制定本招生单位的复试录取方案并组织实施。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各专业成立由5名指导教师组成的复试小组，负责实施面试（含外语听力口语测试）和实践能力的考核。</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line="224" w:lineRule="atLeast"/>
        <w:ind w:left="0" w:firstLine="480"/>
      </w:pPr>
      <w:r>
        <w:rPr>
          <w:rFonts w:hint="eastAsia" w:ascii="宋体" w:hAnsi="宋体" w:eastAsia="宋体" w:cs="宋体"/>
          <w:b w:val="0"/>
          <w:i w:val="0"/>
          <w:caps w:val="0"/>
          <w:color w:val="000000"/>
          <w:spacing w:val="0"/>
          <w:sz w:val="24"/>
          <w:szCs w:val="24"/>
          <w:shd w:val="clear" w:fill="FFFFFF"/>
        </w:rPr>
        <w:t>我院在不低于全国初试成绩基本要求的基础上，根据本院各专业特点和统考招生计划、报考生源等情况，采取差额复试，确定复试分数线。</w:t>
      </w:r>
    </w:p>
    <w:p>
      <w:pPr>
        <w:pStyle w:val="3"/>
        <w:keepNext w:val="0"/>
        <w:keepLines w:val="0"/>
        <w:widowControl/>
        <w:suppressLineNumbers w:val="0"/>
        <w:spacing w:line="224" w:lineRule="atLeast"/>
        <w:ind w:left="0" w:firstLine="480"/>
      </w:pPr>
      <w:r>
        <w:rPr>
          <w:rFonts w:hint="eastAsia" w:ascii="宋体" w:hAnsi="宋体" w:eastAsia="宋体" w:cs="宋体"/>
          <w:b w:val="0"/>
          <w:i w:val="0"/>
          <w:caps w:val="0"/>
          <w:color w:val="000000"/>
          <w:spacing w:val="0"/>
          <w:sz w:val="24"/>
          <w:szCs w:val="24"/>
          <w:shd w:val="clear" w:fill="FFFFFF"/>
        </w:rPr>
        <w:t>复试分数线由研究生院统一公布。上线考生全部参加复试，择优录取。</w:t>
      </w:r>
    </w:p>
    <w:p>
      <w:pPr>
        <w:pStyle w:val="3"/>
        <w:keepNext w:val="0"/>
        <w:keepLines w:val="0"/>
        <w:widowControl/>
        <w:suppressLineNumbers w:val="0"/>
        <w:spacing w:line="224" w:lineRule="atLeast"/>
        <w:ind w:left="0" w:firstLine="480"/>
      </w:pPr>
      <w:r>
        <w:rPr>
          <w:rFonts w:hint="eastAsia" w:ascii="宋体" w:hAnsi="宋体" w:eastAsia="宋体" w:cs="宋体"/>
          <w:b w:val="0"/>
          <w:i w:val="0"/>
          <w:caps w:val="0"/>
          <w:color w:val="000000"/>
          <w:spacing w:val="0"/>
          <w:sz w:val="24"/>
          <w:szCs w:val="24"/>
          <w:shd w:val="clear" w:fill="FFFFFF"/>
        </w:rPr>
        <w:t>我院各专业不进行破格复试。</w:t>
      </w:r>
    </w:p>
    <w:p>
      <w:pPr>
        <w:pStyle w:val="3"/>
        <w:keepNext w:val="0"/>
        <w:keepLines w:val="0"/>
        <w:widowControl/>
        <w:suppressLineNumbers w:val="0"/>
        <w:spacing w:line="224" w:lineRule="atLeast"/>
        <w:ind w:left="0" w:firstLine="480"/>
      </w:pPr>
      <w:r>
        <w:rPr>
          <w:rFonts w:hint="eastAsia" w:ascii="宋体" w:hAnsi="宋体" w:eastAsia="宋体" w:cs="宋体"/>
          <w:b w:val="0"/>
          <w:i w:val="0"/>
          <w:caps w:val="0"/>
          <w:color w:val="000000"/>
          <w:spacing w:val="0"/>
          <w:sz w:val="24"/>
          <w:szCs w:val="24"/>
          <w:shd w:val="clear" w:fill="FFFFFF"/>
        </w:rPr>
        <w:t>我校“少数民族高层次骨干人才计划”和“大学生士兵计划”，根据我校</w:t>
      </w:r>
      <w:r>
        <w:rPr>
          <w:b w:val="0"/>
          <w:i w:val="0"/>
          <w:caps w:val="0"/>
          <w:color w:val="000000"/>
          <w:spacing w:val="0"/>
          <w:sz w:val="24"/>
          <w:szCs w:val="24"/>
          <w:shd w:val="clear" w:fill="FFFFFF"/>
          <w:lang w:val="en-US"/>
        </w:rPr>
        <w:t>2019</w:t>
      </w:r>
      <w:r>
        <w:rPr>
          <w:rFonts w:hint="eastAsia" w:ascii="宋体" w:hAnsi="宋体" w:eastAsia="宋体" w:cs="宋体"/>
          <w:b w:val="0"/>
          <w:i w:val="0"/>
          <w:caps w:val="0"/>
          <w:color w:val="000000"/>
          <w:spacing w:val="0"/>
          <w:sz w:val="24"/>
          <w:szCs w:val="24"/>
          <w:shd w:val="clear" w:fill="FFFFFF"/>
        </w:rPr>
        <w:t>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i w:val="0"/>
          <w:caps w:val="0"/>
          <w:color w:val="000000"/>
          <w:spacing w:val="0"/>
          <w:kern w:val="0"/>
          <w:sz w:val="24"/>
          <w:szCs w:val="24"/>
          <w:shd w:val="clear" w:fill="FFFFFF"/>
          <w:lang w:val="en-US" w:eastAsia="zh-CN" w:bidi="ar"/>
        </w:rPr>
        <w:t>四、复试内容与成绩计算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复试过程中主要对考生进行以下几方面的考核。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（一）专业知识考查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479" w:right="0"/>
        <w:jc w:val="left"/>
      </w:pPr>
      <w:r>
        <w:rPr>
          <w:rFonts w:hint="eastAsia" w:ascii="宋体" w:hAnsi="宋体" w:eastAsia="宋体" w:cs="宋体"/>
          <w:b w:val="0"/>
          <w:i w:val="0"/>
          <w:caps w:val="0"/>
          <w:color w:val="000000"/>
          <w:spacing w:val="0"/>
          <w:kern w:val="0"/>
          <w:sz w:val="24"/>
          <w:szCs w:val="24"/>
          <w:shd w:val="clear" w:fill="FFFFFF"/>
          <w:lang w:val="en-US" w:eastAsia="zh-CN" w:bidi="ar"/>
        </w:rPr>
        <w:t>采取笔试形式，考试时间为2小时，满分为200分。</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（二）综合素质和应用能力的考核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包括本科专业技能测试和专家综合面试，满分为200分。各专业成绩比例如下：</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ind w:left="0" w:firstLine="0"/>
        <w:jc w:val="left"/>
        <w:rPr>
          <w:b w:val="0"/>
          <w:i w:val="0"/>
          <w:caps w:val="0"/>
          <w:color w:val="000000"/>
          <w:spacing w:val="0"/>
        </w:rPr>
      </w:pPr>
    </w:p>
    <w:tbl>
      <w:tblPr>
        <w:tblW w:w="9676" w:type="dxa"/>
        <w:tblInd w:w="0" w:type="dxa"/>
        <w:shd w:val="clear"/>
        <w:tblLayout w:type="fixed"/>
        <w:tblCellMar>
          <w:top w:w="15" w:type="dxa"/>
          <w:left w:w="15" w:type="dxa"/>
          <w:bottom w:w="15" w:type="dxa"/>
          <w:right w:w="15" w:type="dxa"/>
        </w:tblCellMar>
      </w:tblPr>
      <w:tblGrid>
        <w:gridCol w:w="1966"/>
        <w:gridCol w:w="2521"/>
        <w:gridCol w:w="1784"/>
        <w:gridCol w:w="2101"/>
        <w:gridCol w:w="1304"/>
      </w:tblGrid>
      <w:tr>
        <w:tblPrEx>
          <w:shd w:val="clear"/>
          <w:tblLayout w:type="fixed"/>
          <w:tblCellMar>
            <w:top w:w="15" w:type="dxa"/>
            <w:left w:w="15" w:type="dxa"/>
            <w:bottom w:w="15" w:type="dxa"/>
            <w:right w:w="15" w:type="dxa"/>
          </w:tblCellMar>
        </w:tblPrEx>
        <w:trPr>
          <w:trHeight w:val="300" w:hRule="atLeast"/>
        </w:trPr>
        <w:tc>
          <w:tcPr>
            <w:tcW w:w="1966" w:type="dxa"/>
            <w:vMerge w:val="restart"/>
            <w:tcBorders>
              <w:top w:val="single" w:color="000000" w:sz="18" w:space="0"/>
              <w:left w:val="single" w:color="000000" w:sz="1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2"/>
              <w:jc w:val="center"/>
            </w:pPr>
            <w:r>
              <w:rPr>
                <w:rFonts w:hint="eastAsia" w:ascii="宋体" w:hAnsi="宋体" w:eastAsia="宋体" w:cs="宋体"/>
                <w:kern w:val="0"/>
                <w:sz w:val="24"/>
                <w:szCs w:val="24"/>
                <w:lang w:val="en-US" w:eastAsia="zh-CN" w:bidi="ar"/>
              </w:rPr>
              <w:t>专业（领域）</w:t>
            </w:r>
          </w:p>
        </w:tc>
        <w:tc>
          <w:tcPr>
            <w:tcW w:w="4305" w:type="dxa"/>
            <w:gridSpan w:val="2"/>
            <w:tcBorders>
              <w:top w:val="single" w:color="000000" w:sz="1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本科专业技能测试</w:t>
            </w:r>
          </w:p>
        </w:tc>
        <w:tc>
          <w:tcPr>
            <w:tcW w:w="2101" w:type="dxa"/>
            <w:tcBorders>
              <w:top w:val="single" w:color="000000" w:sz="1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专家综合面试</w:t>
            </w:r>
          </w:p>
        </w:tc>
        <w:tc>
          <w:tcPr>
            <w:tcW w:w="1304" w:type="dxa"/>
            <w:vMerge w:val="restart"/>
            <w:tcBorders>
              <w:top w:val="single" w:color="000000" w:sz="18" w:space="0"/>
              <w:left w:val="nil"/>
              <w:bottom w:val="single" w:color="000000" w:sz="8" w:space="0"/>
              <w:right w:val="single" w:color="000000" w:sz="1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总分</w:t>
            </w:r>
          </w:p>
        </w:tc>
      </w:tr>
      <w:tr>
        <w:tblPrEx>
          <w:shd w:val="clear"/>
          <w:tblLayout w:type="fixed"/>
          <w:tblCellMar>
            <w:top w:w="15" w:type="dxa"/>
            <w:left w:w="15" w:type="dxa"/>
            <w:bottom w:w="15" w:type="dxa"/>
            <w:right w:w="15" w:type="dxa"/>
          </w:tblCellMar>
        </w:tblPrEx>
        <w:trPr>
          <w:trHeight w:val="315" w:hRule="atLeast"/>
        </w:trPr>
        <w:tc>
          <w:tcPr>
            <w:tcW w:w="1966" w:type="dxa"/>
            <w:vMerge w:val="continue"/>
            <w:tcBorders>
              <w:top w:val="single" w:color="000000" w:sz="18" w:space="0"/>
              <w:left w:val="single" w:color="000000" w:sz="1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52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测试内容</w:t>
            </w:r>
          </w:p>
        </w:tc>
        <w:tc>
          <w:tcPr>
            <w:tcW w:w="178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成绩比例</w:t>
            </w:r>
          </w:p>
        </w:tc>
        <w:tc>
          <w:tcPr>
            <w:tcW w:w="210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成绩比例</w:t>
            </w:r>
          </w:p>
        </w:tc>
        <w:tc>
          <w:tcPr>
            <w:tcW w:w="1304" w:type="dxa"/>
            <w:vMerge w:val="continue"/>
            <w:tcBorders>
              <w:top w:val="single" w:color="000000" w:sz="18" w:space="0"/>
              <w:left w:val="nil"/>
              <w:bottom w:val="single" w:color="000000" w:sz="8" w:space="0"/>
              <w:right w:val="single" w:color="000000" w:sz="18" w:space="0"/>
            </w:tcBorders>
            <w:shd w:val="clear"/>
            <w:tcMar>
              <w:top w:w="0" w:type="dxa"/>
              <w:left w:w="108" w:type="dxa"/>
              <w:bottom w:w="0" w:type="dxa"/>
              <w:right w:w="108" w:type="dxa"/>
            </w:tcMar>
            <w:vAlign w:val="center"/>
          </w:tcPr>
          <w:p>
            <w:pPr>
              <w:rPr>
                <w:rFonts w:hint="eastAsia" w:ascii="宋体"/>
                <w:sz w:val="24"/>
                <w:szCs w:val="24"/>
              </w:rPr>
            </w:pPr>
          </w:p>
        </w:tc>
      </w:tr>
      <w:tr>
        <w:tblPrEx>
          <w:shd w:val="clear"/>
          <w:tblLayout w:type="fixed"/>
          <w:tblCellMar>
            <w:top w:w="15" w:type="dxa"/>
            <w:left w:w="15" w:type="dxa"/>
            <w:bottom w:w="15" w:type="dxa"/>
            <w:right w:w="15" w:type="dxa"/>
          </w:tblCellMar>
        </w:tblPrEx>
        <w:tc>
          <w:tcPr>
            <w:tcW w:w="1966" w:type="dxa"/>
            <w:tcBorders>
              <w:top w:val="nil"/>
              <w:left w:val="single" w:color="000000" w:sz="1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体育人文社会学</w:t>
            </w:r>
          </w:p>
        </w:tc>
        <w:tc>
          <w:tcPr>
            <w:tcW w:w="252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本科运动专项技能</w:t>
            </w:r>
          </w:p>
        </w:tc>
        <w:tc>
          <w:tcPr>
            <w:tcW w:w="178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30%</w:t>
            </w:r>
          </w:p>
        </w:tc>
        <w:tc>
          <w:tcPr>
            <w:tcW w:w="210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70%</w:t>
            </w:r>
          </w:p>
        </w:tc>
        <w:tc>
          <w:tcPr>
            <w:tcW w:w="1304" w:type="dxa"/>
            <w:tcBorders>
              <w:top w:val="nil"/>
              <w:left w:val="nil"/>
              <w:bottom w:val="single" w:color="000000" w:sz="8" w:space="0"/>
              <w:right w:val="single" w:color="000000" w:sz="1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200</w:t>
            </w:r>
          </w:p>
        </w:tc>
      </w:tr>
      <w:tr>
        <w:tblPrEx>
          <w:shd w:val="clear"/>
          <w:tblLayout w:type="fixed"/>
          <w:tblCellMar>
            <w:top w:w="15" w:type="dxa"/>
            <w:left w:w="15" w:type="dxa"/>
            <w:bottom w:w="15" w:type="dxa"/>
            <w:right w:w="15" w:type="dxa"/>
          </w:tblCellMar>
        </w:tblPrEx>
        <w:tc>
          <w:tcPr>
            <w:tcW w:w="1966" w:type="dxa"/>
            <w:tcBorders>
              <w:top w:val="nil"/>
              <w:left w:val="single" w:color="000000" w:sz="1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运动人体科学</w:t>
            </w:r>
          </w:p>
        </w:tc>
        <w:tc>
          <w:tcPr>
            <w:tcW w:w="252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本科运动专项技能/</w:t>
            </w:r>
          </w:p>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本科实验操作技能</w:t>
            </w:r>
          </w:p>
        </w:tc>
        <w:tc>
          <w:tcPr>
            <w:tcW w:w="178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30%</w:t>
            </w:r>
          </w:p>
        </w:tc>
        <w:tc>
          <w:tcPr>
            <w:tcW w:w="210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70%</w:t>
            </w:r>
          </w:p>
        </w:tc>
        <w:tc>
          <w:tcPr>
            <w:tcW w:w="1304" w:type="dxa"/>
            <w:tcBorders>
              <w:top w:val="nil"/>
              <w:left w:val="nil"/>
              <w:bottom w:val="single" w:color="000000" w:sz="8" w:space="0"/>
              <w:right w:val="single" w:color="000000" w:sz="1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200</w:t>
            </w:r>
          </w:p>
        </w:tc>
      </w:tr>
      <w:tr>
        <w:tblPrEx>
          <w:shd w:val="clear"/>
          <w:tblLayout w:type="fixed"/>
          <w:tblCellMar>
            <w:top w:w="15" w:type="dxa"/>
            <w:left w:w="15" w:type="dxa"/>
            <w:bottom w:w="15" w:type="dxa"/>
            <w:right w:w="15" w:type="dxa"/>
          </w:tblCellMar>
        </w:tblPrEx>
        <w:tc>
          <w:tcPr>
            <w:tcW w:w="1966" w:type="dxa"/>
            <w:tcBorders>
              <w:top w:val="nil"/>
              <w:left w:val="single" w:color="000000" w:sz="1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体育教育训练学</w:t>
            </w:r>
          </w:p>
        </w:tc>
        <w:tc>
          <w:tcPr>
            <w:tcW w:w="252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本科运动专项技能</w:t>
            </w:r>
          </w:p>
        </w:tc>
        <w:tc>
          <w:tcPr>
            <w:tcW w:w="178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60%</w:t>
            </w:r>
          </w:p>
        </w:tc>
        <w:tc>
          <w:tcPr>
            <w:tcW w:w="210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40%</w:t>
            </w:r>
          </w:p>
        </w:tc>
        <w:tc>
          <w:tcPr>
            <w:tcW w:w="1304" w:type="dxa"/>
            <w:tcBorders>
              <w:top w:val="nil"/>
              <w:left w:val="nil"/>
              <w:bottom w:val="single" w:color="000000" w:sz="8" w:space="0"/>
              <w:right w:val="single" w:color="000000" w:sz="1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200</w:t>
            </w:r>
          </w:p>
        </w:tc>
      </w:tr>
      <w:tr>
        <w:tblPrEx>
          <w:shd w:val="clear"/>
          <w:tblLayout w:type="fixed"/>
          <w:tblCellMar>
            <w:top w:w="15" w:type="dxa"/>
            <w:left w:w="15" w:type="dxa"/>
            <w:bottom w:w="15" w:type="dxa"/>
            <w:right w:w="15" w:type="dxa"/>
          </w:tblCellMar>
        </w:tblPrEx>
        <w:tc>
          <w:tcPr>
            <w:tcW w:w="1966" w:type="dxa"/>
            <w:tcBorders>
              <w:top w:val="nil"/>
              <w:left w:val="single" w:color="000000" w:sz="1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民族传统体育学</w:t>
            </w:r>
          </w:p>
        </w:tc>
        <w:tc>
          <w:tcPr>
            <w:tcW w:w="252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本科运动专项技能</w:t>
            </w:r>
          </w:p>
        </w:tc>
        <w:tc>
          <w:tcPr>
            <w:tcW w:w="178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60%</w:t>
            </w:r>
          </w:p>
        </w:tc>
        <w:tc>
          <w:tcPr>
            <w:tcW w:w="210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40%</w:t>
            </w:r>
          </w:p>
        </w:tc>
        <w:tc>
          <w:tcPr>
            <w:tcW w:w="1304" w:type="dxa"/>
            <w:tcBorders>
              <w:top w:val="nil"/>
              <w:left w:val="nil"/>
              <w:bottom w:val="single" w:color="000000" w:sz="8" w:space="0"/>
              <w:right w:val="single" w:color="000000" w:sz="1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200</w:t>
            </w:r>
          </w:p>
        </w:tc>
      </w:tr>
      <w:tr>
        <w:tblPrEx>
          <w:shd w:val="clear"/>
          <w:tblLayout w:type="fixed"/>
          <w:tblCellMar>
            <w:top w:w="15" w:type="dxa"/>
            <w:left w:w="15" w:type="dxa"/>
            <w:bottom w:w="15" w:type="dxa"/>
            <w:right w:w="15" w:type="dxa"/>
          </w:tblCellMar>
        </w:tblPrEx>
        <w:tc>
          <w:tcPr>
            <w:tcW w:w="1966" w:type="dxa"/>
            <w:tcBorders>
              <w:top w:val="nil"/>
              <w:left w:val="single" w:color="000000" w:sz="18" w:space="0"/>
              <w:bottom w:val="single" w:color="000000" w:sz="1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体育教学</w:t>
            </w:r>
          </w:p>
        </w:tc>
        <w:tc>
          <w:tcPr>
            <w:tcW w:w="2521" w:type="dxa"/>
            <w:tcBorders>
              <w:top w:val="nil"/>
              <w:left w:val="nil"/>
              <w:bottom w:val="single" w:color="000000" w:sz="1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jc w:val="center"/>
            </w:pPr>
            <w:r>
              <w:rPr>
                <w:rFonts w:hint="eastAsia" w:ascii="宋体" w:hAnsi="宋体" w:eastAsia="宋体" w:cs="宋体"/>
                <w:kern w:val="0"/>
                <w:sz w:val="24"/>
                <w:szCs w:val="24"/>
                <w:lang w:val="en-US" w:eastAsia="zh-CN" w:bidi="ar"/>
              </w:rPr>
              <w:t>本科运动专项技能</w:t>
            </w:r>
          </w:p>
        </w:tc>
        <w:tc>
          <w:tcPr>
            <w:tcW w:w="1784" w:type="dxa"/>
            <w:tcBorders>
              <w:top w:val="nil"/>
              <w:left w:val="nil"/>
              <w:bottom w:val="single" w:color="000000" w:sz="1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60%</w:t>
            </w:r>
          </w:p>
        </w:tc>
        <w:tc>
          <w:tcPr>
            <w:tcW w:w="2101" w:type="dxa"/>
            <w:tcBorders>
              <w:top w:val="nil"/>
              <w:left w:val="nil"/>
              <w:bottom w:val="single" w:color="000000" w:sz="1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40%</w:t>
            </w:r>
          </w:p>
        </w:tc>
        <w:tc>
          <w:tcPr>
            <w:tcW w:w="1304" w:type="dxa"/>
            <w:tcBorders>
              <w:top w:val="nil"/>
              <w:left w:val="nil"/>
              <w:bottom w:val="single" w:color="000000" w:sz="18" w:space="0"/>
              <w:right w:val="single" w:color="000000" w:sz="1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293" w:lineRule="atLeast"/>
              <w:ind w:left="0" w:right="0" w:firstLine="480"/>
              <w:jc w:val="center"/>
            </w:pPr>
            <w:r>
              <w:rPr>
                <w:rFonts w:hint="eastAsia" w:ascii="宋体" w:hAnsi="宋体" w:eastAsia="宋体" w:cs="宋体"/>
                <w:kern w:val="0"/>
                <w:sz w:val="24"/>
                <w:szCs w:val="24"/>
                <w:lang w:val="en-US" w:eastAsia="zh-CN" w:bidi="ar"/>
              </w:rPr>
              <w:t>200</w:t>
            </w:r>
          </w:p>
        </w:tc>
      </w:tr>
    </w:tbl>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kern w:val="0"/>
          <w:sz w:val="24"/>
          <w:szCs w:val="24"/>
          <w:lang w:val="en-US" w:eastAsia="zh-CN" w:bidi="ar"/>
        </w:rPr>
        <w:t>（三）外语口语与听力考核</w:t>
      </w:r>
    </w:p>
    <w:p>
      <w:pPr>
        <w:keepNext w:val="0"/>
        <w:keepLines w:val="0"/>
        <w:widowControl/>
        <w:suppressLineNumbers w:val="0"/>
        <w:spacing w:before="0" w:beforeAutospacing="1" w:after="0" w:afterAutospacing="1" w:line="293" w:lineRule="atLeast"/>
        <w:ind w:left="479" w:right="0"/>
        <w:jc w:val="left"/>
      </w:pPr>
      <w:r>
        <w:rPr>
          <w:rFonts w:hint="eastAsia" w:ascii="宋体" w:hAnsi="宋体" w:eastAsia="宋体" w:cs="宋体"/>
          <w:kern w:val="0"/>
          <w:sz w:val="24"/>
          <w:szCs w:val="24"/>
          <w:lang w:val="en-US" w:eastAsia="zh-CN" w:bidi="ar"/>
        </w:rPr>
        <w:t>主要考核考生听力与口语能力的准确性、连贯性、得体性等，满分为100分。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（四）品德修养考核。</w:t>
      </w: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kern w:val="0"/>
          <w:sz w:val="24"/>
          <w:szCs w:val="24"/>
          <w:lang w:val="en-US" w:eastAsia="zh-CN" w:bidi="ar"/>
        </w:rPr>
        <w:t>由我院分党委组织实施，包括复试和后续政审两个阶段的考核。主要从专业操守、职业伦理、个人素养、相关法律法规、社会主义核心价值观进行重点考核。本项考核不作量化计入复试成绩，但考核结果不合格者不予录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（五）复试成绩计算办法。</w:t>
      </w: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kern w:val="0"/>
          <w:sz w:val="24"/>
          <w:szCs w:val="24"/>
          <w:lang w:val="en-US" w:eastAsia="zh-CN" w:bidi="ar"/>
        </w:rPr>
        <w:t>复试总成绩=专业知识考查成绩+综合素质和应用能力考核成绩+外语口语与听力考核成绩（即复试满分为200+200+100=500）。</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五、复试结果与拟录取名单确定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复试总成绩大于等于300分（500×0.6）为复试合格，低于300分为复试不合格，复试不合格者不予录取。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我院以初试复试总成绩（初复试总成绩=初试成绩×0.6+复试成绩×0.4）进行排序后从高到低确定拟录取名单，报我校研究生招生办公室审核，拟录取名单经研究生招生办公室审核通过后在网上公布，进入拟录取名单的考生要自行登录我校研究生招生信息网，下载调档函和政审表。</w:t>
      </w:r>
    </w:p>
    <w:p>
      <w:pPr>
        <w:keepNext w:val="0"/>
        <w:keepLines w:val="0"/>
        <w:widowControl/>
        <w:suppressLineNumbers w:val="0"/>
        <w:spacing w:before="0" w:beforeAutospacing="1" w:after="0" w:afterAutospacing="1" w:line="293" w:lineRule="atLeast"/>
        <w:ind w:left="482" w:right="0" w:hanging="482"/>
        <w:jc w:val="left"/>
      </w:pPr>
      <w:r>
        <w:rPr>
          <w:rFonts w:hint="eastAsia" w:ascii="宋体" w:hAnsi="宋体" w:eastAsia="宋体" w:cs="宋体"/>
          <w:kern w:val="0"/>
          <w:sz w:val="24"/>
          <w:szCs w:val="24"/>
          <w:lang w:val="en-US" w:eastAsia="zh-CN" w:bidi="ar"/>
        </w:rPr>
        <w:t>六、复试日期</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我院硕士研究生复试时间为3月26日-28日。 </w:t>
      </w:r>
    </w:p>
    <w:p>
      <w:pPr>
        <w:keepNext w:val="0"/>
        <w:keepLines w:val="0"/>
        <w:widowControl/>
        <w:suppressLineNumbers w:val="0"/>
        <w:spacing w:before="0" w:beforeAutospacing="1" w:after="0" w:afterAutospacing="1" w:line="293" w:lineRule="atLeast"/>
        <w:ind w:left="0" w:right="0"/>
        <w:jc w:val="left"/>
      </w:pPr>
      <w:r>
        <w:rPr>
          <w:rFonts w:hint="eastAsia" w:ascii="宋体" w:hAnsi="宋体" w:eastAsia="宋体" w:cs="宋体"/>
          <w:kern w:val="0"/>
          <w:sz w:val="24"/>
          <w:szCs w:val="24"/>
          <w:lang w:val="en-US" w:eastAsia="zh-CN" w:bidi="ar"/>
        </w:rPr>
        <w:t>七、资格审查与诚信考查</w:t>
      </w: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kern w:val="0"/>
          <w:sz w:val="24"/>
          <w:szCs w:val="24"/>
          <w:lang w:val="en-US" w:eastAsia="zh-CN" w:bidi="ar"/>
        </w:rPr>
        <w:t>在复试前我院对考生资格进行审查，对不符合规定者，不予复试。对考生的学历（学籍）信息有疑问的，考生必须在规定时间内提供权威机构出具的认证证明，复试录取或入学后一旦查核考生学籍学历信息与复试时确认的不一致的，即取消录取资格或入学资格或学籍，请考生核实报考时所填信息与实际是否有出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对弄虚作假及考试违规、作弊的考生，不予录取。考生取得拟录取资格后，被查出在初试和复试中有弄虚作假、违纪作弊等行为的，随时取消录取和入学资格，取得学籍者则取消学籍。</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八、招生体检</w:t>
      </w: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kern w:val="0"/>
          <w:sz w:val="24"/>
          <w:szCs w:val="24"/>
          <w:lang w:val="en-US" w:eastAsia="zh-CN" w:bidi="ar"/>
        </w:rPr>
        <w:t>今年我校招生体检跟新生入学体检合并。即在新生报到后的三个月新生复查期间进行体检。体检不合格的再依据相关规定取消入学资格或者进行其他学籍处理。</w:t>
      </w: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kern w:val="0"/>
          <w:sz w:val="24"/>
          <w:szCs w:val="24"/>
          <w:lang w:val="en-US" w:eastAsia="zh-CN" w:bidi="ar"/>
        </w:rPr>
        <w:t>我校各专业体检标准参照《教育部、卫生部、中国残疾人联合会关于印发&lt;普通高等学校招生体检工作指导意见&gt;的通知》（教学〔2003〕3号）和《教育部办公厅　卫生部办公厅关于普通高等学校招生学生入学身体检查取消乙肝项目检测有关问题的通知》（教学厅〔2010〕2号）两个文件执行，请参加我校复试的考生仔细比对自己身体状况，如有不符合情况及时提出咨询，以免到新生入学体检检查出问题被取消入学资格。</w:t>
      </w:r>
    </w:p>
    <w:p>
      <w:pPr>
        <w:keepNext w:val="0"/>
        <w:keepLines w:val="0"/>
        <w:widowControl/>
        <w:suppressLineNumbers w:val="0"/>
        <w:spacing w:before="0" w:beforeAutospacing="1" w:after="0" w:afterAutospacing="1" w:line="293" w:lineRule="atLeast"/>
        <w:ind w:left="0" w:right="0" w:firstLine="480"/>
        <w:jc w:val="left"/>
      </w:pPr>
      <w:r>
        <w:rPr>
          <w:rFonts w:hint="eastAsia" w:ascii="宋体" w:hAnsi="宋体" w:eastAsia="宋体" w:cs="宋体"/>
          <w:kern w:val="0"/>
          <w:sz w:val="24"/>
          <w:szCs w:val="24"/>
          <w:lang w:val="en-US" w:eastAsia="zh-CN" w:bidi="ar"/>
        </w:rPr>
        <w:t>被录取考生在下载调档通知时还需填写自己的病史。</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九、信息公开与社会监督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继续深入推进信息公开工作，加强社会监督。学校按规定对复试办法、招生计划、复试名单、录取名单等重要信息进行公开和公示，接受社会监督。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学院咨询电话：021-54342612。复试录取工作投诉、申诉和监督联系方式：学校纪委监察处，电话：021-54344605，电子信箱：jwjc@admin.ecnu.edu.cn。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30570FF"/>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