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ascii="Calibri" w:hAnsi="Calibri" w:cs="Calibri" w:eastAsiaTheme="minorEastAsia"/>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教育信息技术学系成立专门的招生领导小组，负责加强对复试工作的领导和统筹管理，制定复试录取方案并组织实施。</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教育信息技术学系成立由研究生指导教师为主要成员的复试小组，负责实施面试（含外语听力口语测试）和实践能力的考核。</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default" w:ascii="Calibri" w:hAnsi="Calibri" w:cs="Calibri" w:eastAsiaTheme="minorEastAsia"/>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在不低于全国初试成绩基本要求的基础上， 教育信息技术学系根据本学科、专业特点和统考招生计划、报考生源等情况确定本单位复试分数线。达到我系复试分数线的考生全部参加复试，择优录取。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教育信息技术学系复试分数线经学校审定后由研究生院统一公布。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教育信息技术学系所有专业不进行破格复试。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我校“少数民族高层次骨干人才计划”和“大学生士兵计划”根据我校2019年硕士招生简章规定原则确定复试名单。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教育信息技术学系复试时间初步定为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31</w:t>
      </w:r>
      <w:r>
        <w:rPr>
          <w:rFonts w:hint="eastAsia" w:ascii="宋体" w:hAnsi="宋体" w:eastAsia="宋体" w:cs="宋体"/>
          <w:b w:val="0"/>
          <w:i w:val="0"/>
          <w:caps w:val="0"/>
          <w:color w:val="000000"/>
          <w:spacing w:val="0"/>
          <w:kern w:val="0"/>
          <w:sz w:val="24"/>
          <w:szCs w:val="24"/>
          <w:shd w:val="clear" w:fill="FFFFFF"/>
          <w:lang w:val="en-US" w:eastAsia="zh-CN" w:bidi="ar"/>
        </w:rPr>
        <w:t>日，以面试形式对外语口语与听力、综合技能进行测试评判，以上机形式对专业知识考查。具体复试安排将另行通知考生，请考生以具体复试通知为准。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在复试前请考生到教育信息技术学系进行资格审查。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1、</w:t>
      </w:r>
      <w:r>
        <w:rPr>
          <w:rFonts w:hint="eastAsia" w:ascii="宋体" w:hAnsi="宋体" w:eastAsia="宋体" w:cs="宋体"/>
          <w:b w:val="0"/>
          <w:i w:val="0"/>
          <w:caps w:val="0"/>
          <w:color w:val="000000"/>
          <w:spacing w:val="0"/>
          <w:sz w:val="24"/>
          <w:szCs w:val="24"/>
          <w:shd w:val="clear" w:fill="FFFFFF"/>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2、</w:t>
      </w:r>
      <w:r>
        <w:rPr>
          <w:rFonts w:hint="eastAsia" w:ascii="宋体" w:hAnsi="宋体" w:eastAsia="宋体" w:cs="宋体"/>
          <w:b w:val="0"/>
          <w:i w:val="0"/>
          <w:caps w:val="0"/>
          <w:color w:val="000000"/>
          <w:spacing w:val="0"/>
          <w:sz w:val="24"/>
          <w:szCs w:val="24"/>
          <w:shd w:val="clear" w:fill="FFFFFF"/>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3、</w:t>
      </w:r>
      <w:r>
        <w:rPr>
          <w:rFonts w:hint="eastAsia" w:ascii="宋体" w:hAnsi="宋体" w:eastAsia="宋体" w:cs="宋体"/>
          <w:b w:val="0"/>
          <w:i w:val="0"/>
          <w:caps w:val="0"/>
          <w:color w:val="000000"/>
          <w:spacing w:val="0"/>
          <w:sz w:val="24"/>
          <w:szCs w:val="24"/>
          <w:shd w:val="clear" w:fill="FFFFFF"/>
        </w:rPr>
        <w:t>初试准考证（如丢失请于</w:t>
      </w:r>
      <w:r>
        <w:rPr>
          <w:b w:val="0"/>
          <w:i w:val="0"/>
          <w:caps w:val="0"/>
          <w:color w:val="000000"/>
          <w:spacing w:val="0"/>
          <w:shd w:val="clear" w:fill="FFFFFF"/>
          <w:lang w:val="en-US"/>
        </w:rPr>
        <w:t>3</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hd w:val="clear" w:fill="FFFFFF"/>
          <w:lang w:val="en-US"/>
        </w:rPr>
        <w:t>1</w:t>
      </w:r>
      <w:r>
        <w:rPr>
          <w:rFonts w:hint="eastAsia" w:ascii="宋体" w:hAnsi="宋体" w:eastAsia="宋体" w:cs="宋体"/>
          <w:b w:val="0"/>
          <w:i w:val="0"/>
          <w:caps w:val="0"/>
          <w:color w:val="000000"/>
          <w:spacing w:val="0"/>
          <w:sz w:val="24"/>
          <w:szCs w:val="24"/>
          <w:shd w:val="clear" w:fill="FFFFFF"/>
        </w:rPr>
        <w:t>日</w:t>
      </w:r>
      <w:r>
        <w:rPr>
          <w:b w:val="0"/>
          <w:i w:val="0"/>
          <w:caps w:val="0"/>
          <w:color w:val="000000"/>
          <w:spacing w:val="0"/>
          <w:shd w:val="clear" w:fill="FFFFFF"/>
          <w:lang w:val="en-US"/>
        </w:rPr>
        <w:t>-4</w:t>
      </w:r>
      <w:r>
        <w:rPr>
          <w:rFonts w:hint="eastAsia" w:ascii="宋体" w:hAnsi="宋体" w:eastAsia="宋体" w:cs="宋体"/>
          <w:b w:val="0"/>
          <w:i w:val="0"/>
          <w:caps w:val="0"/>
          <w:color w:val="000000"/>
          <w:spacing w:val="0"/>
          <w:sz w:val="24"/>
          <w:szCs w:val="24"/>
          <w:shd w:val="clear" w:fill="FFFFFF"/>
        </w:rPr>
        <w:t>月</w:t>
      </w:r>
      <w:r>
        <w:rPr>
          <w:b w:val="0"/>
          <w:i w:val="0"/>
          <w:caps w:val="0"/>
          <w:color w:val="000000"/>
          <w:spacing w:val="0"/>
          <w:shd w:val="clear" w:fill="FFFFFF"/>
          <w:lang w:val="en-US"/>
        </w:rPr>
        <w:t>30</w:t>
      </w:r>
      <w:r>
        <w:rPr>
          <w:rFonts w:hint="eastAsia" w:ascii="宋体" w:hAnsi="宋体" w:eastAsia="宋体" w:cs="宋体"/>
          <w:b w:val="0"/>
          <w:i w:val="0"/>
          <w:caps w:val="0"/>
          <w:color w:val="000000"/>
          <w:spacing w:val="0"/>
          <w:sz w:val="24"/>
          <w:szCs w:val="24"/>
          <w:shd w:val="clear" w:fill="FFFFFF"/>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4、</w:t>
      </w:r>
      <w:r>
        <w:rPr>
          <w:rFonts w:hint="eastAsia" w:ascii="宋体" w:hAnsi="宋体" w:eastAsia="宋体" w:cs="宋体"/>
          <w:b w:val="0"/>
          <w:i w:val="0"/>
          <w:caps w:val="0"/>
          <w:color w:val="000000"/>
          <w:spacing w:val="0"/>
          <w:sz w:val="24"/>
          <w:szCs w:val="24"/>
          <w:shd w:val="clear" w:fill="FFFFFF"/>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5、</w:t>
      </w:r>
      <w:r>
        <w:rPr>
          <w:rFonts w:hint="eastAsia" w:ascii="宋体" w:hAnsi="宋体" w:eastAsia="宋体" w:cs="宋体"/>
          <w:b w:val="0"/>
          <w:i w:val="0"/>
          <w:caps w:val="0"/>
          <w:color w:val="000000"/>
          <w:spacing w:val="0"/>
          <w:sz w:val="24"/>
          <w:szCs w:val="24"/>
          <w:shd w:val="clear" w:fill="FFFFFF"/>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6、</w:t>
      </w:r>
      <w:r>
        <w:rPr>
          <w:rFonts w:hint="eastAsia" w:ascii="宋体" w:hAnsi="宋体" w:eastAsia="宋体" w:cs="宋体"/>
          <w:b w:val="0"/>
          <w:i w:val="0"/>
          <w:caps w:val="0"/>
          <w:color w:val="000000"/>
          <w:spacing w:val="0"/>
          <w:sz w:val="24"/>
          <w:szCs w:val="24"/>
          <w:shd w:val="clear" w:fill="FFFFFF"/>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7、</w:t>
      </w:r>
      <w:r>
        <w:rPr>
          <w:rFonts w:hint="eastAsia" w:ascii="宋体" w:hAnsi="宋体" w:eastAsia="宋体" w:cs="宋体"/>
          <w:b w:val="0"/>
          <w:i w:val="0"/>
          <w:caps w:val="0"/>
          <w:color w:val="000000"/>
          <w:spacing w:val="0"/>
          <w:sz w:val="24"/>
          <w:szCs w:val="24"/>
          <w:shd w:val="clear" w:fill="FFFFFF"/>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pStyle w:val="3"/>
        <w:keepNext w:val="0"/>
        <w:keepLines w:val="0"/>
        <w:widowControl/>
        <w:suppressLineNumbers w:val="0"/>
        <w:spacing w:before="0" w:beforeAutospacing="0" w:after="0" w:afterAutospacing="0" w:line="224" w:lineRule="atLeast"/>
        <w:ind w:left="840" w:right="0" w:hanging="360"/>
      </w:pPr>
      <w:r>
        <w:rPr>
          <w:b w:val="0"/>
          <w:i w:val="0"/>
          <w:caps w:val="0"/>
          <w:color w:val="000000"/>
          <w:spacing w:val="0"/>
          <w:shd w:val="clear" w:fill="FFFFFF"/>
          <w:lang w:val="en-US"/>
        </w:rPr>
        <w:t>8、</w:t>
      </w:r>
      <w:r>
        <w:rPr>
          <w:rFonts w:hint="eastAsia" w:ascii="宋体" w:hAnsi="宋体" w:eastAsia="宋体" w:cs="宋体"/>
          <w:b w:val="0"/>
          <w:i w:val="0"/>
          <w:caps w:val="0"/>
          <w:color w:val="000000"/>
          <w:spacing w:val="0"/>
          <w:sz w:val="24"/>
          <w:szCs w:val="24"/>
          <w:shd w:val="clear" w:fill="FFFFFF"/>
        </w:rPr>
        <w:t>同等学力考生（大专毕业和本科结业）还需提供大专毕业证书原件及复印件、英语四级水平证书原件及复印件（或相当于大学英语四级水平的其他语种）和</w:t>
      </w:r>
      <w:r>
        <w:rPr>
          <w:b w:val="0"/>
          <w:i w:val="0"/>
          <w:caps w:val="0"/>
          <w:color w:val="000000"/>
          <w:spacing w:val="0"/>
          <w:shd w:val="clear" w:fill="FFFFFF"/>
          <w:lang w:val="en-US"/>
        </w:rPr>
        <w:t>8</w:t>
      </w:r>
      <w:r>
        <w:rPr>
          <w:rFonts w:hint="eastAsia" w:ascii="宋体" w:hAnsi="宋体" w:eastAsia="宋体" w:cs="宋体"/>
          <w:b w:val="0"/>
          <w:i w:val="0"/>
          <w:caps w:val="0"/>
          <w:color w:val="000000"/>
          <w:spacing w:val="0"/>
          <w:sz w:val="24"/>
          <w:szCs w:val="24"/>
          <w:shd w:val="clear" w:fill="FFFFFF"/>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复试过程中主要对考生进行以下几方面的考核（满分</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分），上机形式。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（三）学习能力、创新能力、动手能力、灵活运用知识能力、口头与书面语言表达能力等综合技能考查</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分），在面试时进行测试评判。</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过程中还应对考生的品德修养进行考核：由教育信息技术学系党组织组织实施，包括复试和后续政审两个阶段考核。主要从专业操守、职业伦理、个人素养、相关法律法规、社会主义核心价值观进行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调剂是招生录取工作的组成部分。教育信息技术学系非全日制专业硕士研究生合格生源不足，需要调剂复试。具体调剂要求详见2019教育信息技术学系调剂方案。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w:t>
      </w:r>
      <w:r>
        <w:rPr>
          <w:rFonts w:hint="eastAsia" w:ascii="宋体" w:hAnsi="宋体" w:eastAsia="宋体" w:cs="宋体"/>
          <w:b w:val="0"/>
          <w:i w:val="0"/>
          <w:caps w:val="0"/>
          <w:color w:val="000000"/>
          <w:spacing w:val="0"/>
          <w:kern w:val="0"/>
          <w:sz w:val="24"/>
          <w:szCs w:val="24"/>
          <w:shd w:val="clear" w:fill="FFFFFF"/>
          <w:lang w:val="en-US" w:eastAsia="zh-CN" w:bidi="ar"/>
        </w:rPr>
        <w:t>调剂复试和录取（无论是校内调剂还是校外调剂）考生必须通过中国研究生招生信息网（公网网址：</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 xml:space="preserve">http://yz.chsi.com.cn, </w:t>
      </w:r>
      <w:r>
        <w:rPr>
          <w:rFonts w:hint="eastAsia" w:ascii="宋体" w:hAnsi="宋体" w:eastAsia="宋体" w:cs="宋体"/>
          <w:b w:val="0"/>
          <w:i w:val="0"/>
          <w:caps w:val="0"/>
          <w:color w:val="000000"/>
          <w:spacing w:val="0"/>
          <w:kern w:val="0"/>
          <w:sz w:val="24"/>
          <w:szCs w:val="24"/>
          <w:shd w:val="clear" w:fill="FFFFFF"/>
          <w:lang w:val="en-US" w:eastAsia="zh-CN" w:bidi="ar"/>
        </w:rPr>
        <w:t>教育网址：</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http://yz.chsi.cn</w:t>
      </w:r>
      <w:r>
        <w:rPr>
          <w:rFonts w:hint="eastAsia" w:ascii="宋体" w:hAnsi="宋体" w:eastAsia="宋体" w:cs="宋体"/>
          <w:b w:val="0"/>
          <w:i w:val="0"/>
          <w:caps w:val="0"/>
          <w:color w:val="000000"/>
          <w:spacing w:val="0"/>
          <w:kern w:val="0"/>
          <w:sz w:val="24"/>
          <w:szCs w:val="24"/>
          <w:shd w:val="clear" w:fill="FFFFFF"/>
          <w:lang w:val="en-US" w:eastAsia="zh-CN" w:bidi="ar"/>
        </w:rPr>
        <w:t>）调剂系统完成调剂录取手续。</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复试不合格的考生不能录取。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我系将根据一志愿考生根据初试复试总成绩（初复试总成绩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）进行排序后从高到低确定拟录取名单，非全日制和全日制考生按照学习形式分别排序，一志愿优先。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调剂复试考生来自不同的地区和学校，初试科目也不完全一致，初试成绩可比性差，调剂复试考生与我校第一志愿考生分别排序，优先录取复试合格的一志愿考生，调剂考生以复试成绩排序确定录取名单。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“少数民族高层次骨干计划”考生和“大学生士兵计划”为</w:t>
      </w:r>
      <w:r>
        <w:rPr>
          <w:rFonts w:hint="default" w:ascii="Calibri" w:hAnsi="Calibri" w:cs="Calibri" w:eastAsiaTheme="minorEastAsia"/>
          <w:b w:val="0"/>
          <w:i w:val="0"/>
          <w:caps w:val="0"/>
          <w:color w:val="000000"/>
          <w:spacing w:val="0"/>
          <w:kern w:val="0"/>
          <w:sz w:val="24"/>
          <w:szCs w:val="24"/>
          <w:shd w:val="clear" w:fill="FFFFFF"/>
          <w:lang w:val="en-US" w:eastAsia="zh-CN" w:bidi="ar"/>
        </w:rPr>
        <w:t>1:1</w:t>
      </w:r>
      <w:r>
        <w:rPr>
          <w:rFonts w:hint="eastAsia" w:ascii="宋体" w:hAnsi="宋体" w:eastAsia="宋体" w:cs="宋体"/>
          <w:b w:val="0"/>
          <w:i w:val="0"/>
          <w:caps w:val="0"/>
          <w:color w:val="000000"/>
          <w:spacing w:val="0"/>
          <w:kern w:val="0"/>
          <w:sz w:val="24"/>
          <w:szCs w:val="24"/>
          <w:shd w:val="clear" w:fill="FFFFFF"/>
          <w:lang w:val="en-US" w:eastAsia="zh-CN" w:bidi="ar"/>
        </w:rPr>
        <w:t>复试，复试合格即拟录取。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    1</w:t>
      </w:r>
      <w:r>
        <w:rPr>
          <w:rFonts w:hint="eastAsia" w:ascii="宋体" w:hAnsi="宋体" w:eastAsia="宋体" w:cs="宋体"/>
          <w:b w:val="0"/>
          <w:i w:val="0"/>
          <w:caps w:val="0"/>
          <w:color w:val="000000"/>
          <w:spacing w:val="0"/>
          <w:kern w:val="0"/>
          <w:sz w:val="24"/>
          <w:szCs w:val="24"/>
          <w:shd w:val="clear" w:fill="FFFFFF"/>
          <w:lang w:val="en-US" w:eastAsia="zh-CN" w:bidi="ar"/>
        </w:rPr>
        <w:t>、加试：同等学力考生和以成人高等学历教育应届本科毕业生身份报考的考生，及复试时不能提交本科毕业证书的但可在</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9</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日前拿到本科毕业证书的自学考试和网络教育考生，复试时还须加试两门本专业本科主干课程。加试科目与初试科目不同。形式为笔试，时间</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小时，试卷满分为</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分。有一门加试科目不及格者（</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60</w:t>
      </w:r>
      <w:r>
        <w:rPr>
          <w:rFonts w:hint="eastAsia" w:ascii="宋体" w:hAnsi="宋体" w:eastAsia="宋体" w:cs="宋体"/>
          <w:b w:val="0"/>
          <w:i w:val="0"/>
          <w:caps w:val="0"/>
          <w:color w:val="000000"/>
          <w:spacing w:val="0"/>
          <w:kern w:val="0"/>
          <w:sz w:val="24"/>
          <w:szCs w:val="24"/>
          <w:shd w:val="clear" w:fill="FFFFFF"/>
          <w:lang w:val="en-US" w:eastAsia="zh-CN" w:bidi="ar"/>
        </w:rPr>
        <w:t>分以下）不予录取。加试成绩不计入复试成绩。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、定向培养研究生考生需签订培养合同书。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asciiTheme="minorHAnsi" w:hAnsiTheme="minorHAnsi" w:eastAsiaTheme="minorEastAsia" w:cstheme="minorBidi"/>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复试录取工作投诉、申诉和监督联系方式：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研究生招生办，电话：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021-54344721</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yjszs@admin.ecnu.edu.cn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021-54344605</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jwjc@admin.ecnu.edu.cn</w:t>
      </w:r>
      <w:r>
        <w:rPr>
          <w:rFonts w:hint="eastAsia" w:ascii="宋体" w:hAnsi="宋体" w:eastAsia="宋体" w:cs="宋体"/>
          <w:b w:val="0"/>
          <w:i w:val="0"/>
          <w:caps w:val="0"/>
          <w:color w:val="000000"/>
          <w:spacing w:val="0"/>
          <w:kern w:val="0"/>
          <w:sz w:val="24"/>
          <w:szCs w:val="24"/>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1E13304A"/>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2019-04-17T03:54:45Z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