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right="0"/>
        <w:jc w:val="center"/>
        <w:rPr>
          <w:rFonts w:hint="eastAsia" w:ascii="宋体" w:hAnsi="宋体" w:eastAsia="宋体" w:cs="宋体"/>
          <w:b/>
          <w:bCs/>
          <w:color w:val="333333"/>
          <w:sz w:val="32"/>
          <w:szCs w:val="32"/>
          <w:bdr w:val="none" w:color="auto" w:sz="0" w:space="0"/>
          <w:shd w:val="clear" w:fill="FFFFFF"/>
        </w:rPr>
      </w:pPr>
      <w:bookmarkStart w:id="0" w:name="_GoBack"/>
      <w:r>
        <w:rPr>
          <w:rFonts w:hint="eastAsia" w:ascii="宋体" w:hAnsi="宋体" w:eastAsia="宋体" w:cs="宋体"/>
          <w:b/>
          <w:bCs/>
          <w:color w:val="333333"/>
          <w:sz w:val="32"/>
          <w:szCs w:val="32"/>
          <w:bdr w:val="none" w:color="auto" w:sz="0" w:space="0"/>
          <w:shd w:val="clear" w:fill="FFFFFF"/>
          <w:lang w:val="en-US" w:eastAsia="zh-CN"/>
        </w:rPr>
        <w:t>华南师范大学</w:t>
      </w:r>
      <w:r>
        <w:rPr>
          <w:rFonts w:hint="eastAsia" w:ascii="宋体" w:hAnsi="宋体" w:eastAsia="宋体" w:cs="宋体"/>
          <w:b/>
          <w:bCs/>
          <w:color w:val="333333"/>
          <w:sz w:val="32"/>
          <w:szCs w:val="32"/>
          <w:bdr w:val="none" w:color="auto" w:sz="0" w:space="0"/>
          <w:shd w:val="clear" w:fill="FFFFFF"/>
        </w:rPr>
        <w:t>2018年脑科学与康复医学研究院招收全日制硕士复试方案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按照《2018年华南师范大学招收全日制硕士研究生复试方案》，为做好我院本年度全日制硕士招生复试工作，本着公平、公正、公开的原则，特制订本方案。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Style w:val="4"/>
          <w:rFonts w:hint="eastAsia" w:ascii="宋体" w:hAnsi="宋体" w:eastAsia="宋体" w:cs="宋体"/>
          <w:sz w:val="24"/>
          <w:szCs w:val="24"/>
          <w:bdr w:val="none" w:color="auto" w:sz="0" w:space="0"/>
          <w:shd w:val="clear" w:fill="FFFFFF"/>
        </w:rPr>
        <w:t>一、 复试时间、地点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360"/>
      </w:pPr>
      <w:r>
        <w:rPr>
          <w:rFonts w:hint="eastAsia" w:ascii="宋体" w:hAnsi="宋体" w:eastAsia="宋体" w:cs="宋体"/>
          <w:color w:val="333333"/>
          <w:sz w:val="24"/>
          <w:szCs w:val="24"/>
          <w:bdr w:val="none" w:color="auto" w:sz="0" w:space="0"/>
          <w:shd w:val="clear" w:fill="FFFFFF"/>
        </w:rPr>
        <w:t>（一）报到和资格审查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时间：2018年4月1日下午14:30—17:00；地点：脑科学与康复医学研究院103研究生工作办公室。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360"/>
      </w:pPr>
      <w:r>
        <w:rPr>
          <w:rFonts w:hint="eastAsia" w:ascii="宋体" w:hAnsi="宋体" w:eastAsia="宋体" w:cs="宋体"/>
          <w:color w:val="333333"/>
          <w:sz w:val="24"/>
          <w:szCs w:val="24"/>
          <w:bdr w:val="none" w:color="auto" w:sz="0" w:space="0"/>
          <w:shd w:val="clear" w:fill="FFFFFF"/>
        </w:rPr>
        <w:t>（二）体检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2018年4月3日上午8:00-11:30（考生也可结合自己</w:t>
      </w:r>
      <w:r>
        <w:rPr>
          <w:rFonts w:hint="eastAsia" w:ascii="宋体" w:hAnsi="宋体" w:eastAsia="宋体" w:cs="宋体"/>
          <w:sz w:val="24"/>
          <w:szCs w:val="24"/>
          <w:bdr w:val="none" w:color="auto" w:sz="0" w:space="0"/>
          <w:shd w:val="clear" w:fill="FFFFFF"/>
        </w:rPr>
        <w:t>在其他上班时间自行到我校石牌校区校医院自行挂号体检，考生务必</w:t>
      </w:r>
      <w:r>
        <w:rPr>
          <w:rStyle w:val="4"/>
          <w:rFonts w:hint="eastAsia" w:ascii="宋体" w:hAnsi="宋体" w:eastAsia="宋体" w:cs="宋体"/>
          <w:sz w:val="24"/>
          <w:szCs w:val="24"/>
          <w:bdr w:val="none" w:color="auto" w:sz="0" w:space="0"/>
          <w:shd w:val="clear" w:fill="FFFFFF"/>
        </w:rPr>
        <w:t>携带身份证</w:t>
      </w:r>
      <w:r>
        <w:rPr>
          <w:rFonts w:hint="eastAsia" w:ascii="宋体" w:hAnsi="宋体" w:eastAsia="宋体" w:cs="宋体"/>
          <w:color w:val="333333"/>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360"/>
      </w:pPr>
      <w:r>
        <w:rPr>
          <w:rFonts w:hint="eastAsia" w:ascii="宋体" w:hAnsi="宋体" w:eastAsia="宋体" w:cs="宋体"/>
          <w:color w:val="333333"/>
          <w:sz w:val="24"/>
          <w:szCs w:val="24"/>
          <w:bdr w:val="none" w:color="auto" w:sz="0" w:space="0"/>
          <w:shd w:val="clear" w:fill="FFFFFF"/>
        </w:rPr>
        <w:t>（三）专业笔试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2018年4月2日上午9:00—11:00，地点：脑科学与康复医学研究院南楼二楼201会议室。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（四）面试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时间：2018年4月2日下午2:30，地点：脑科院南楼会议室，具体安排请于报到时查询。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Style w:val="4"/>
          <w:rFonts w:hint="eastAsia" w:ascii="宋体" w:hAnsi="宋体" w:eastAsia="宋体" w:cs="宋体"/>
          <w:color w:val="333333"/>
          <w:sz w:val="24"/>
          <w:szCs w:val="24"/>
          <w:bdr w:val="none" w:color="auto" w:sz="0" w:space="0"/>
          <w:shd w:val="clear" w:fill="FFFFFF"/>
        </w:rPr>
        <w:t>二、复试资格要求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差额复试。经研究院招生复试小组审议确定，心理学科复试分数线为335分，按照1:1.2的差额比例确定复试资格名单。各专业招生人数、分数线和复试名单请见附件。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Style w:val="4"/>
          <w:rFonts w:hint="eastAsia" w:ascii="宋体" w:hAnsi="宋体" w:eastAsia="宋体" w:cs="宋体"/>
          <w:color w:val="333333"/>
          <w:sz w:val="24"/>
          <w:szCs w:val="24"/>
          <w:bdr w:val="none" w:color="auto" w:sz="0" w:space="0"/>
          <w:shd w:val="clear" w:fill="FFFFFF"/>
        </w:rPr>
        <w:t>三、复试内容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（一）资格审查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1．资格审查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由学院对复试考生进行严格的资格审查，不符合报考条件或弄虚作假者不予复试。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考生需验证的</w:t>
      </w:r>
      <w:r>
        <w:rPr>
          <w:rStyle w:val="4"/>
          <w:rFonts w:hint="eastAsia" w:ascii="宋体" w:hAnsi="宋体" w:eastAsia="宋体" w:cs="宋体"/>
          <w:color w:val="333333"/>
          <w:sz w:val="24"/>
          <w:szCs w:val="24"/>
          <w:bdr w:val="none" w:color="auto" w:sz="0" w:space="0"/>
          <w:shd w:val="clear" w:fill="FFFFFF"/>
        </w:rPr>
        <w:t>原件</w:t>
      </w:r>
      <w:r>
        <w:rPr>
          <w:rFonts w:hint="eastAsia" w:ascii="宋体" w:hAnsi="宋体" w:eastAsia="宋体" w:cs="宋体"/>
          <w:color w:val="333333"/>
          <w:sz w:val="24"/>
          <w:szCs w:val="24"/>
          <w:bdr w:val="none" w:color="auto" w:sz="0" w:space="0"/>
          <w:shd w:val="clear" w:fill="FFFFFF"/>
        </w:rPr>
        <w:t>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sz w:val="24"/>
          <w:szCs w:val="24"/>
          <w:bdr w:val="none" w:color="auto" w:sz="0" w:space="0"/>
          <w:shd w:val="clear" w:fill="FFFFFF"/>
        </w:rPr>
        <w:t>（1） 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sz w:val="24"/>
          <w:szCs w:val="24"/>
          <w:bdr w:val="none" w:color="auto" w:sz="0" w:space="0"/>
          <w:shd w:val="clear" w:fill="FFFFFF"/>
        </w:rPr>
        <w:t>（2） 学历证书（应届本科毕业生查学生证，含网络教育应届生、自考本科应届生），持境外学历的考生须同时提交教育部留学服务中心的学历认证报告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sz w:val="24"/>
          <w:szCs w:val="24"/>
          <w:bdr w:val="none" w:color="auto" w:sz="0" w:space="0"/>
          <w:shd w:val="clear" w:fill="FFFFFF"/>
        </w:rPr>
        <w:t>（3） 政审表（下载方式：</w:t>
      </w:r>
      <w:r>
        <w:rPr>
          <w:rFonts w:hint="eastAsia" w:ascii="宋体" w:hAnsi="宋体" w:eastAsia="宋体" w:cs="宋体"/>
          <w:color w:val="333333"/>
          <w:sz w:val="24"/>
          <w:szCs w:val="24"/>
          <w:u w:val="single"/>
          <w:bdr w:val="none" w:color="auto" w:sz="0" w:space="0"/>
          <w:shd w:val="clear" w:fill="FFFFFF"/>
        </w:rPr>
        <w:fldChar w:fldCharType="begin"/>
      </w:r>
      <w:r>
        <w:rPr>
          <w:rFonts w:hint="eastAsia" w:ascii="宋体" w:hAnsi="宋体" w:eastAsia="宋体" w:cs="宋体"/>
          <w:color w:val="333333"/>
          <w:sz w:val="24"/>
          <w:szCs w:val="24"/>
          <w:u w:val="single"/>
          <w:bdr w:val="none" w:color="auto" w:sz="0" w:space="0"/>
          <w:shd w:val="clear" w:fill="FFFFFF"/>
        </w:rPr>
        <w:instrText xml:space="preserve"> HYPERLINK "http://yz.scnu.edu.cn/ziliaoxiazai/" </w:instrText>
      </w:r>
      <w:r>
        <w:rPr>
          <w:rFonts w:hint="eastAsia" w:ascii="宋体" w:hAnsi="宋体" w:eastAsia="宋体" w:cs="宋体"/>
          <w:color w:val="333333"/>
          <w:sz w:val="24"/>
          <w:szCs w:val="24"/>
          <w:u w:val="single"/>
          <w:bdr w:val="none" w:color="auto" w:sz="0" w:space="0"/>
          <w:shd w:val="clear" w:fill="FFFFFF"/>
        </w:rPr>
        <w:fldChar w:fldCharType="separate"/>
      </w:r>
      <w:r>
        <w:rPr>
          <w:rStyle w:val="5"/>
          <w:rFonts w:hint="eastAsia" w:ascii="宋体" w:hAnsi="宋体" w:eastAsia="宋体" w:cs="宋体"/>
          <w:color w:val="333333"/>
          <w:sz w:val="24"/>
          <w:szCs w:val="24"/>
          <w:u w:val="single"/>
          <w:bdr w:val="none" w:color="auto" w:sz="0" w:space="0"/>
          <w:shd w:val="clear" w:fill="FFFFFF"/>
        </w:rPr>
        <w:t>http://yz.scnu.edu.cn/ziliaoxiazai/</w:t>
      </w:r>
      <w:r>
        <w:rPr>
          <w:rFonts w:hint="eastAsia" w:ascii="宋体" w:hAnsi="宋体" w:eastAsia="宋体" w:cs="宋体"/>
          <w:color w:val="333333"/>
          <w:sz w:val="24"/>
          <w:szCs w:val="24"/>
          <w:u w:val="single"/>
          <w:bdr w:val="none" w:color="auto" w:sz="0" w:space="0"/>
          <w:shd w:val="clear" w:fill="FFFFFF"/>
        </w:rPr>
        <w:fldChar w:fldCharType="end"/>
      </w:r>
      <w:r>
        <w:rPr>
          <w:rFonts w:hint="eastAsia" w:ascii="宋体" w:hAnsi="宋体" w:eastAsia="宋体" w:cs="宋体"/>
          <w:sz w:val="24"/>
          <w:szCs w:val="24"/>
          <w:bdr w:val="none" w:color="auto" w:sz="0" w:space="0"/>
          <w:shd w:val="clear" w:fill="FFFFFF"/>
        </w:rPr>
        <w:t>）应届生和暂缓就业考生所在学院（毕业学院）签署意见并盖章。非应届生由所在工作单位或基层党组织开具，如无工作单位的，由档案存放单位开具。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sz w:val="24"/>
          <w:szCs w:val="24"/>
          <w:bdr w:val="none" w:color="auto" w:sz="0" w:space="0"/>
          <w:shd w:val="clear" w:fill="FFFFFF"/>
        </w:rPr>
        <w:t>（4） 大学历年成绩表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80"/>
      </w:pPr>
      <w:r>
        <w:rPr>
          <w:rFonts w:hint="eastAsia" w:ascii="宋体" w:hAnsi="宋体" w:eastAsia="宋体" w:cs="宋体"/>
          <w:sz w:val="24"/>
          <w:szCs w:val="24"/>
          <w:bdr w:val="none" w:color="auto" w:sz="0" w:space="0"/>
        </w:rPr>
        <w:t>（</w:t>
      </w:r>
      <w:r>
        <w:rPr>
          <w:sz w:val="24"/>
          <w:szCs w:val="24"/>
          <w:bdr w:val="none" w:color="auto" w:sz="0" w:space="0"/>
        </w:rPr>
        <w:t>5</w:t>
      </w:r>
      <w:r>
        <w:rPr>
          <w:rFonts w:hint="eastAsia" w:ascii="宋体" w:hAnsi="宋体" w:eastAsia="宋体" w:cs="宋体"/>
          <w:sz w:val="24"/>
          <w:szCs w:val="24"/>
          <w:bdr w:val="none" w:color="auto" w:sz="0" w:space="0"/>
        </w:rPr>
        <w:t>）学历认证报告（</w:t>
      </w:r>
      <w:r>
        <w:rPr>
          <w:sz w:val="24"/>
          <w:szCs w:val="24"/>
          <w:bdr w:val="none" w:color="auto" w:sz="0" w:space="0"/>
        </w:rPr>
        <w:t>http://www.chsi.com.cn/xlrz/</w:t>
      </w:r>
      <w:r>
        <w:rPr>
          <w:rFonts w:hint="eastAsia" w:ascii="宋体" w:hAnsi="宋体" w:eastAsia="宋体" w:cs="宋体"/>
          <w:sz w:val="24"/>
          <w:szCs w:val="24"/>
          <w:bdr w:val="none" w:color="auto" w:sz="0" w:space="0"/>
        </w:rPr>
        <w:t>）或者教育部学历证书电子注册备案表（</w:t>
      </w:r>
      <w:r>
        <w:rPr>
          <w:color w:val="333333"/>
          <w:u w:val="none"/>
          <w:bdr w:val="none" w:color="auto" w:sz="0" w:space="0"/>
        </w:rPr>
        <w:fldChar w:fldCharType="begin"/>
      </w:r>
      <w:r>
        <w:rPr>
          <w:color w:val="333333"/>
          <w:u w:val="none"/>
          <w:bdr w:val="none" w:color="auto" w:sz="0" w:space="0"/>
        </w:rPr>
        <w:instrText xml:space="preserve"> HYPERLINK "http://www.chsi.com.cn/xlcx/bgys.jsp" </w:instrText>
      </w:r>
      <w:r>
        <w:rPr>
          <w:color w:val="333333"/>
          <w:u w:val="none"/>
          <w:bdr w:val="none" w:color="auto" w:sz="0" w:space="0"/>
        </w:rPr>
        <w:fldChar w:fldCharType="separate"/>
      </w:r>
      <w:r>
        <w:rPr>
          <w:rStyle w:val="5"/>
          <w:color w:val="333333"/>
          <w:sz w:val="24"/>
          <w:szCs w:val="24"/>
          <w:u w:val="none"/>
          <w:bdr w:val="none" w:color="auto" w:sz="0" w:space="0"/>
        </w:rPr>
        <w:t>http://www.chsi.com.cn/xlcx/bgys.jsp</w:t>
      </w:r>
      <w:r>
        <w:rPr>
          <w:color w:val="333333"/>
          <w:u w:val="none"/>
          <w:bdr w:val="none" w:color="auto" w:sz="0" w:space="0"/>
        </w:rPr>
        <w:fldChar w:fldCharType="end"/>
      </w:r>
      <w:r>
        <w:rPr>
          <w:rFonts w:hint="eastAsia" w:ascii="宋体" w:hAnsi="宋体" w:eastAsia="宋体" w:cs="宋体"/>
          <w:sz w:val="24"/>
          <w:szCs w:val="24"/>
          <w:bdr w:val="none" w:color="auto" w:sz="0" w:space="0"/>
        </w:rPr>
        <w:t>）（往届生）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80"/>
      </w:pPr>
      <w:r>
        <w:rPr>
          <w:rFonts w:hint="eastAsia" w:ascii="宋体" w:hAnsi="宋体" w:eastAsia="宋体" w:cs="宋体"/>
          <w:sz w:val="24"/>
          <w:szCs w:val="24"/>
          <w:bdr w:val="none" w:color="auto" w:sz="0" w:space="0"/>
        </w:rPr>
        <w:t>（</w:t>
      </w:r>
      <w:r>
        <w:rPr>
          <w:sz w:val="24"/>
          <w:szCs w:val="24"/>
          <w:bdr w:val="none" w:color="auto" w:sz="0" w:space="0"/>
        </w:rPr>
        <w:t>6</w:t>
      </w:r>
      <w:r>
        <w:rPr>
          <w:rFonts w:hint="eastAsia" w:ascii="宋体" w:hAnsi="宋体" w:eastAsia="宋体" w:cs="宋体"/>
          <w:sz w:val="24"/>
          <w:szCs w:val="24"/>
          <w:bdr w:val="none" w:color="auto" w:sz="0" w:space="0"/>
        </w:rPr>
        <w:t>）《教育部学籍在线验证报告》</w:t>
      </w:r>
      <w:r>
        <w:rPr>
          <w:sz w:val="24"/>
          <w:szCs w:val="24"/>
          <w:bdr w:val="none" w:color="auto" w:sz="0" w:space="0"/>
        </w:rPr>
        <w:t>http://xjxl.chsi.com.cn/index.action</w:t>
      </w:r>
      <w:r>
        <w:rPr>
          <w:rFonts w:hint="eastAsia" w:ascii="宋体" w:hAnsi="宋体" w:eastAsia="宋体" w:cs="宋体"/>
          <w:sz w:val="24"/>
          <w:szCs w:val="24"/>
          <w:bdr w:val="none" w:color="auto" w:sz="0" w:space="0"/>
        </w:rPr>
        <w:t>（应届生）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80"/>
      </w:pPr>
      <w:r>
        <w:rPr>
          <w:rFonts w:hint="eastAsia" w:ascii="宋体" w:hAnsi="宋体" w:eastAsia="宋体" w:cs="宋体"/>
          <w:sz w:val="24"/>
          <w:szCs w:val="24"/>
          <w:bdr w:val="none" w:color="auto" w:sz="0" w:space="0"/>
        </w:rPr>
        <w:t>（</w:t>
      </w:r>
      <w:r>
        <w:rPr>
          <w:sz w:val="24"/>
          <w:szCs w:val="24"/>
          <w:bdr w:val="none" w:color="auto" w:sz="0" w:space="0"/>
        </w:rPr>
        <w:t>7</w:t>
      </w:r>
      <w:r>
        <w:rPr>
          <w:rFonts w:hint="eastAsia" w:ascii="宋体" w:hAnsi="宋体" w:eastAsia="宋体" w:cs="宋体"/>
          <w:sz w:val="24"/>
          <w:szCs w:val="24"/>
          <w:bdr w:val="none" w:color="auto" w:sz="0" w:space="0"/>
        </w:rPr>
        <w:t>）与单位签订的《定向就业协议》（下载方式： </w:t>
      </w:r>
      <w:r>
        <w:rPr>
          <w:color w:val="333333"/>
          <w:u w:val="none"/>
          <w:bdr w:val="none" w:color="auto" w:sz="0" w:space="0"/>
        </w:rPr>
        <w:fldChar w:fldCharType="begin"/>
      </w:r>
      <w:r>
        <w:rPr>
          <w:color w:val="333333"/>
          <w:u w:val="none"/>
          <w:bdr w:val="none" w:color="auto" w:sz="0" w:space="0"/>
        </w:rPr>
        <w:instrText xml:space="preserve"> HYPERLINK "http://yz.scnu.edu.cn/ziliaoxiazai/" </w:instrText>
      </w:r>
      <w:r>
        <w:rPr>
          <w:color w:val="333333"/>
          <w:u w:val="none"/>
          <w:bdr w:val="none" w:color="auto" w:sz="0" w:space="0"/>
        </w:rPr>
        <w:fldChar w:fldCharType="separate"/>
      </w:r>
      <w:r>
        <w:rPr>
          <w:rStyle w:val="5"/>
          <w:rFonts w:hint="eastAsia" w:ascii="宋体" w:hAnsi="宋体" w:eastAsia="宋体" w:cs="宋体"/>
          <w:color w:val="333333"/>
          <w:sz w:val="24"/>
          <w:szCs w:val="24"/>
          <w:u w:val="none"/>
          <w:bdr w:val="none" w:color="auto" w:sz="0" w:space="0"/>
        </w:rPr>
        <w:t>http://yz.scnu.edu.cn/ziliaoxiazai/</w:t>
      </w:r>
      <w:r>
        <w:rPr>
          <w:color w:val="333333"/>
          <w:u w:val="none"/>
          <w:bdr w:val="none" w:color="auto" w:sz="0" w:space="0"/>
        </w:rPr>
        <w:fldChar w:fldCharType="end"/>
      </w:r>
      <w:r>
        <w:rPr>
          <w:rFonts w:hint="eastAsia" w:ascii="宋体" w:hAnsi="宋体" w:eastAsia="宋体" w:cs="宋体"/>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480" w:right="0" w:firstLine="480"/>
      </w:pPr>
      <w:r>
        <w:rPr>
          <w:rFonts w:hint="eastAsia" w:ascii="宋体" w:hAnsi="宋体" w:eastAsia="宋体" w:cs="宋体"/>
          <w:color w:val="333333"/>
          <w:sz w:val="24"/>
          <w:szCs w:val="24"/>
          <w:bdr w:val="none" w:color="auto" w:sz="0" w:space="0"/>
          <w:shd w:val="clear" w:fill="FFFFFF"/>
        </w:rPr>
        <w:t>其中，各类考生需提交的材料包括：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u w:val="single"/>
          <w:bdr w:val="none" w:color="auto" w:sz="0" w:space="0"/>
          <w:shd w:val="clear" w:fill="FFFFFF"/>
        </w:rPr>
        <w:t>普通高校应届本科毕业生：</w:t>
      </w:r>
      <w:r>
        <w:rPr>
          <w:rFonts w:hint="eastAsia" w:ascii="宋体" w:hAnsi="宋体" w:eastAsia="宋体" w:cs="宋体"/>
          <w:color w:val="333333"/>
          <w:sz w:val="24"/>
          <w:szCs w:val="24"/>
          <w:bdr w:val="none" w:color="auto" w:sz="0" w:space="0"/>
          <w:shd w:val="clear" w:fill="FFFFFF"/>
        </w:rPr>
        <w:t>（1）（2）（6）的复印件和（3）（4）的原件；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u w:val="single"/>
          <w:bdr w:val="none" w:color="auto" w:sz="0" w:space="0"/>
          <w:shd w:val="clear" w:fill="FFFFFF"/>
        </w:rPr>
        <w:t>网络教育或成人高校应届本科毕业生：</w:t>
      </w:r>
      <w:r>
        <w:rPr>
          <w:rFonts w:hint="eastAsia" w:ascii="宋体" w:hAnsi="宋体" w:eastAsia="宋体" w:cs="宋体"/>
          <w:color w:val="333333"/>
          <w:sz w:val="24"/>
          <w:szCs w:val="24"/>
          <w:bdr w:val="none" w:color="auto" w:sz="0" w:space="0"/>
          <w:shd w:val="clear" w:fill="FFFFFF"/>
        </w:rPr>
        <w:t>（1）（2）（6）的复印件和（3）（4）的原件，以及录取当年的录取名册复印件，加盖学校公章；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u w:val="single"/>
          <w:bdr w:val="none" w:color="auto" w:sz="0" w:space="0"/>
          <w:shd w:val="clear" w:fill="FFFFFF"/>
        </w:rPr>
        <w:t>往届毕业生（含暂缓就业生）：</w:t>
      </w:r>
      <w:r>
        <w:rPr>
          <w:rFonts w:hint="eastAsia" w:ascii="宋体" w:hAnsi="宋体" w:eastAsia="宋体" w:cs="宋体"/>
          <w:color w:val="333333"/>
          <w:sz w:val="24"/>
          <w:szCs w:val="24"/>
          <w:bdr w:val="none" w:color="auto" w:sz="0" w:space="0"/>
          <w:shd w:val="clear" w:fill="FFFFFF"/>
        </w:rPr>
        <w:t>（1）（2）（4）（5）的复印件和（3）的原件。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u w:val="single"/>
          <w:bdr w:val="none" w:color="auto" w:sz="0" w:space="0"/>
          <w:shd w:val="clear" w:fill="FFFFFF"/>
        </w:rPr>
        <w:t>拟录取为定向就业的（包括应届生和往届生）</w:t>
      </w:r>
      <w:r>
        <w:rPr>
          <w:rFonts w:hint="eastAsia" w:ascii="宋体" w:hAnsi="宋体" w:eastAsia="宋体" w:cs="宋体"/>
          <w:color w:val="333333"/>
          <w:sz w:val="24"/>
          <w:szCs w:val="24"/>
          <w:bdr w:val="none" w:color="auto" w:sz="0" w:space="0"/>
          <w:shd w:val="clear" w:fill="FFFFFF"/>
        </w:rPr>
        <w:t>：还需要提交（7）的原件。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申请保留入学资格者必须提交保留入学资格申请书，经专业指导组及学院同意后报招生考试处备案。此两类考生必须在复试时提交申请，拟录取后再补提交的申请无效。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2．提交加分项目材料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rPr>
        <w:t>按照教育部文件，参加“大学生志愿服务西部计划”、“三支一扶计划”、“农村义务教育阶段学校教师特设岗位计划”、“赴外汉语教师志愿者”等项目服务期满、考核合格的考生和普通高等学校应届毕业生应征入伍服义务兵役退役后的考生，3年内参加全国硕士研究生招生考试，初试总分加10分并在同等条件下优先录取的政策。</w:t>
      </w:r>
      <w:r>
        <w:rPr>
          <w:rFonts w:hint="eastAsia" w:ascii="宋体" w:hAnsi="宋体" w:eastAsia="宋体" w:cs="宋体"/>
          <w:sz w:val="24"/>
          <w:szCs w:val="24"/>
          <w:bdr w:val="none" w:color="auto" w:sz="0" w:space="0"/>
        </w:rPr>
        <w:t>普通高校在校生（含高校新生）应征入伍服义务兵役退役，在完成本科学业后3年内参加全国硕士研究生招生考试的，初试总分加10分，同等条件下优先录取，在部队荣立二等功及以上，符合全国硕士研究生招生考试报考条件的，可申请免试（初试）攻读硕士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参加“选聘高校毕业生到村任职”项目服务期满、考核称职以上的考生，3年内参加全国硕士研究生招生考试，初试总分加10分，同等条件下优先录取，其中报考人文社科类专业研究生的，初试总分加15分。符合复试加分政策项目的考生须在3</w:t>
      </w:r>
      <w:r>
        <w:rPr>
          <w:rStyle w:val="4"/>
          <w:rFonts w:hint="eastAsia" w:ascii="宋体" w:hAnsi="宋体" w:eastAsia="宋体" w:cs="宋体"/>
          <w:color w:val="333333"/>
          <w:sz w:val="24"/>
          <w:szCs w:val="24"/>
          <w:bdr w:val="none" w:color="auto" w:sz="0" w:space="0"/>
          <w:shd w:val="clear" w:fill="FFFFFF"/>
        </w:rPr>
        <w:t>月29日</w:t>
      </w:r>
      <w:r>
        <w:rPr>
          <w:rFonts w:hint="eastAsia" w:ascii="宋体" w:hAnsi="宋体" w:eastAsia="宋体" w:cs="宋体"/>
          <w:color w:val="333333"/>
          <w:sz w:val="24"/>
          <w:szCs w:val="24"/>
          <w:bdr w:val="none" w:color="auto" w:sz="0" w:space="0"/>
          <w:shd w:val="clear" w:fill="FFFFFF"/>
        </w:rPr>
        <w:t>前与我办联系并传真相关证明材料复印件，如加分后符合所报专业复试要求，复试前向学院提交相关证明材料原件，并交给研招办审核。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（二）专业笔试（2小时，100分）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525"/>
      </w:pPr>
      <w:r>
        <w:rPr>
          <w:rFonts w:hint="eastAsia" w:ascii="宋体" w:hAnsi="宋体" w:eastAsia="宋体" w:cs="宋体"/>
          <w:color w:val="333333"/>
          <w:sz w:val="24"/>
          <w:szCs w:val="24"/>
          <w:bdr w:val="none" w:color="auto" w:sz="0" w:space="0"/>
          <w:shd w:val="clear" w:fill="FFFFFF"/>
        </w:rPr>
        <w:t>专业笔试2小时，满分为100分。笔试复试科目和内容按照2018年招生简章公布的复试科目组织命题、印制、考试和评阅。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（三）综合素质考核（100分，其中面试环节每生不少20分钟）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1．外语考核（20分）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重点考核考生的外语听说读写能力，可采取面试或面试与笔试相结合的方式。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2．专业素质考核（50分）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重点考察考生对专业基础知识及专业研究动态的掌握和了解情况，以及科研创新成果等。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3．品德与实践能力考核（30分）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重点考核考生德智体美全面发展情况和社会实践经历等，尤其要切实加强诚信评判，强化对考生诚信的要求，凡发现弄虚作假及考试违规、作弊考生，无论何时核查确定，一律按照《国家教育考试违规处理办法》和《普通高等学校学生管理规定》等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Style w:val="4"/>
          <w:rFonts w:hint="eastAsia" w:ascii="宋体" w:hAnsi="宋体" w:eastAsia="宋体" w:cs="宋体"/>
          <w:color w:val="333333"/>
          <w:sz w:val="24"/>
          <w:szCs w:val="24"/>
          <w:bdr w:val="none" w:color="auto" w:sz="0" w:space="0"/>
          <w:shd w:val="clear" w:fill="FFFFFF"/>
        </w:rPr>
        <w:t>（四）体格检查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rPr>
        <w:t>体检标准参照教育部、卫生部、中国残联制订的《普通高等学校招生体检工作指导意见》</w:t>
      </w:r>
      <w:r>
        <w:rPr>
          <w:rFonts w:hint="default" w:ascii="Times New Roman" w:hAnsi="Times New Roman" w:cs="Times New Roman"/>
          <w:color w:val="333333"/>
          <w:sz w:val="24"/>
          <w:szCs w:val="24"/>
          <w:bdr w:val="none" w:color="auto" w:sz="0" w:space="0"/>
        </w:rPr>
        <w:t>(</w:t>
      </w:r>
      <w:r>
        <w:rPr>
          <w:rFonts w:hint="eastAsia" w:ascii="宋体" w:hAnsi="宋体" w:eastAsia="宋体" w:cs="宋体"/>
          <w:color w:val="333333"/>
          <w:sz w:val="24"/>
          <w:szCs w:val="24"/>
          <w:bdr w:val="none" w:color="auto" w:sz="0" w:space="0"/>
        </w:rPr>
        <w:t>教学</w:t>
      </w:r>
      <w:r>
        <w:rPr>
          <w:rFonts w:hint="default" w:ascii="Times New Roman" w:hAnsi="Times New Roman" w:cs="Times New Roman"/>
          <w:color w:val="333333"/>
          <w:sz w:val="24"/>
          <w:szCs w:val="24"/>
          <w:bdr w:val="none" w:color="auto" w:sz="0" w:space="0"/>
        </w:rPr>
        <w:t>[2003]3</w:t>
      </w:r>
      <w:r>
        <w:rPr>
          <w:rFonts w:hint="eastAsia" w:ascii="宋体" w:hAnsi="宋体" w:eastAsia="宋体" w:cs="宋体"/>
          <w:color w:val="333333"/>
          <w:sz w:val="24"/>
          <w:szCs w:val="24"/>
          <w:bdr w:val="none" w:color="auto" w:sz="0" w:space="0"/>
        </w:rPr>
        <w:t>号</w:t>
      </w:r>
      <w:r>
        <w:rPr>
          <w:rFonts w:hint="default" w:ascii="Times New Roman" w:hAnsi="Times New Roman" w:cs="Times New Roman"/>
          <w:color w:val="333333"/>
          <w:sz w:val="24"/>
          <w:szCs w:val="24"/>
          <w:bdr w:val="none" w:color="auto" w:sz="0" w:space="0"/>
        </w:rPr>
        <w:t>)</w:t>
      </w:r>
      <w:r>
        <w:rPr>
          <w:rFonts w:hint="eastAsia" w:ascii="宋体" w:hAnsi="宋体" w:eastAsia="宋体" w:cs="宋体"/>
          <w:color w:val="333333"/>
          <w:sz w:val="24"/>
          <w:szCs w:val="24"/>
          <w:bdr w:val="none" w:color="auto" w:sz="0" w:space="0"/>
        </w:rPr>
        <w:t>及《教育部办公厅</w:t>
      </w:r>
      <w:r>
        <w:rPr>
          <w:rFonts w:hint="default" w:ascii="Times New Roman" w:hAnsi="Times New Roman" w:cs="Times New Roman"/>
          <w:color w:val="333333"/>
          <w:sz w:val="24"/>
          <w:szCs w:val="24"/>
          <w:bdr w:val="none" w:color="auto" w:sz="0" w:space="0"/>
        </w:rPr>
        <w:t> </w:t>
      </w:r>
      <w:r>
        <w:rPr>
          <w:rFonts w:hint="eastAsia" w:ascii="宋体" w:hAnsi="宋体" w:eastAsia="宋体" w:cs="宋体"/>
          <w:color w:val="333333"/>
          <w:sz w:val="24"/>
          <w:szCs w:val="24"/>
          <w:bdr w:val="none" w:color="auto" w:sz="0" w:space="0"/>
        </w:rPr>
        <w:t>卫生部办公厅关于普通高等学校招生学生入学身体检查取消乙肝项目检测有关问题的通知》（教学厅〔</w:t>
      </w:r>
      <w:r>
        <w:rPr>
          <w:rFonts w:hint="default" w:ascii="Times New Roman" w:hAnsi="Times New Roman" w:cs="Times New Roman"/>
          <w:color w:val="333333"/>
          <w:sz w:val="24"/>
          <w:szCs w:val="24"/>
          <w:bdr w:val="none" w:color="auto" w:sz="0" w:space="0"/>
        </w:rPr>
        <w:t>2010</w:t>
      </w:r>
      <w:r>
        <w:rPr>
          <w:rFonts w:hint="eastAsia" w:ascii="宋体" w:hAnsi="宋体" w:eastAsia="宋体" w:cs="宋体"/>
          <w:color w:val="333333"/>
          <w:sz w:val="24"/>
          <w:szCs w:val="24"/>
          <w:bdr w:val="none" w:color="auto" w:sz="0" w:space="0"/>
        </w:rPr>
        <w:t>〕</w:t>
      </w:r>
      <w:r>
        <w:rPr>
          <w:rFonts w:hint="default" w:ascii="Times New Roman" w:hAnsi="Times New Roman" w:cs="Times New Roman"/>
          <w:color w:val="333333"/>
          <w:sz w:val="24"/>
          <w:szCs w:val="24"/>
          <w:bdr w:val="none" w:color="auto" w:sz="0" w:space="0"/>
        </w:rPr>
        <w:t>2</w:t>
      </w:r>
      <w:r>
        <w:rPr>
          <w:rFonts w:hint="eastAsia" w:ascii="宋体" w:hAnsi="宋体" w:eastAsia="宋体" w:cs="宋体"/>
          <w:color w:val="333333"/>
          <w:sz w:val="24"/>
          <w:szCs w:val="24"/>
          <w:bdr w:val="none" w:color="auto" w:sz="0" w:space="0"/>
        </w:rPr>
        <w:t>号）规定执行。体检不合格不予录取。</w:t>
      </w:r>
      <w:r>
        <w:rPr>
          <w:rFonts w:hint="eastAsia" w:ascii="宋体" w:hAnsi="宋体" w:eastAsia="宋体" w:cs="宋体"/>
          <w:sz w:val="24"/>
          <w:szCs w:val="24"/>
          <w:bdr w:val="none" w:color="auto" w:sz="0" w:space="0"/>
        </w:rPr>
        <w:t>体检表下载地址：</w:t>
      </w:r>
      <w:r>
        <w:rPr>
          <w:color w:val="333333"/>
          <w:u w:val="none"/>
          <w:bdr w:val="none" w:color="auto" w:sz="0" w:space="0"/>
        </w:rPr>
        <w:fldChar w:fldCharType="begin"/>
      </w:r>
      <w:r>
        <w:rPr>
          <w:color w:val="333333"/>
          <w:u w:val="none"/>
          <w:bdr w:val="none" w:color="auto" w:sz="0" w:space="0"/>
        </w:rPr>
        <w:instrText xml:space="preserve"> HYPERLINK "http://yz.scnu.edu.cn/ziliaoxiazai/" </w:instrText>
      </w:r>
      <w:r>
        <w:rPr>
          <w:color w:val="333333"/>
          <w:u w:val="none"/>
          <w:bdr w:val="none" w:color="auto" w:sz="0" w:space="0"/>
        </w:rPr>
        <w:fldChar w:fldCharType="separate"/>
      </w:r>
      <w:r>
        <w:rPr>
          <w:rStyle w:val="5"/>
          <w:rFonts w:hint="eastAsia" w:ascii="宋体" w:hAnsi="宋体" w:eastAsia="宋体" w:cs="宋体"/>
          <w:color w:val="333333"/>
          <w:sz w:val="24"/>
          <w:szCs w:val="24"/>
          <w:u w:val="none"/>
          <w:bdr w:val="none" w:color="auto" w:sz="0" w:space="0"/>
        </w:rPr>
        <w:t>http://yz.scnu.edu.cn/ziliaoxiazai/</w:t>
      </w:r>
      <w:r>
        <w:rPr>
          <w:color w:val="333333"/>
          <w:u w:val="none"/>
          <w:bdr w:val="none" w:color="auto" w:sz="0" w:space="0"/>
        </w:rPr>
        <w:fldChar w:fldCharType="end"/>
      </w:r>
      <w:r>
        <w:rPr>
          <w:rFonts w:hint="eastAsia" w:ascii="宋体" w:hAnsi="宋体" w:eastAsia="宋体" w:cs="宋体"/>
          <w:sz w:val="24"/>
          <w:szCs w:val="24"/>
          <w:bdr w:val="none" w:color="auto" w:sz="0" w:space="0"/>
        </w:rPr>
        <w:t>。</w:t>
      </w:r>
      <w:r>
        <w:rPr>
          <w:rFonts w:hint="eastAsia" w:ascii="宋体" w:hAnsi="宋体" w:eastAsia="宋体" w:cs="宋体"/>
          <w:color w:val="333333"/>
          <w:sz w:val="24"/>
          <w:szCs w:val="24"/>
          <w:bdr w:val="none" w:color="auto" w:sz="0" w:space="0"/>
        </w:rPr>
        <w:t>体格检查安排在</w:t>
      </w:r>
      <w:r>
        <w:rPr>
          <w:rStyle w:val="4"/>
          <w:rFonts w:hint="eastAsia" w:ascii="宋体" w:hAnsi="宋体" w:eastAsia="宋体" w:cs="宋体"/>
          <w:color w:val="333333"/>
          <w:sz w:val="24"/>
          <w:szCs w:val="24"/>
          <w:bdr w:val="none" w:color="auto" w:sz="0" w:space="0"/>
        </w:rPr>
        <w:t>华南师范大学石牌校区校医院</w:t>
      </w:r>
      <w:r>
        <w:rPr>
          <w:rFonts w:hint="eastAsia" w:ascii="宋体" w:hAnsi="宋体" w:eastAsia="宋体" w:cs="宋体"/>
          <w:color w:val="333333"/>
          <w:sz w:val="24"/>
          <w:szCs w:val="24"/>
          <w:bdr w:val="none" w:color="auto" w:sz="0" w:space="0"/>
        </w:rPr>
        <w:t>，体检时间建议按照我院安排的时间，也可以按下表安排的时间进行选择：</w:t>
      </w:r>
    </w:p>
    <w:tbl>
      <w:tblPr>
        <w:tblW w:w="813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775"/>
        <w:gridCol w:w="4261"/>
        <w:gridCol w:w="2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177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80"/>
              <w:jc w:val="center"/>
            </w:pPr>
            <w:r>
              <w:rPr>
                <w:rStyle w:val="4"/>
                <w:rFonts w:hint="eastAsia" w:ascii="宋体" w:hAnsi="宋体" w:eastAsia="宋体" w:cs="宋体"/>
                <w:color w:val="333333"/>
                <w:sz w:val="24"/>
                <w:szCs w:val="24"/>
                <w:bdr w:val="none" w:color="auto" w:sz="0" w:space="0"/>
              </w:rPr>
              <w:t>日  期</w:t>
            </w:r>
          </w:p>
        </w:tc>
        <w:tc>
          <w:tcPr>
            <w:tcW w:w="4261" w:type="dxa"/>
            <w:tcBorders>
              <w:top w:val="single" w:color="000000"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80"/>
              <w:jc w:val="center"/>
            </w:pPr>
            <w:r>
              <w:rPr>
                <w:rStyle w:val="4"/>
                <w:rFonts w:hint="eastAsia" w:ascii="宋体" w:hAnsi="宋体" w:eastAsia="宋体" w:cs="宋体"/>
                <w:color w:val="333333"/>
                <w:sz w:val="24"/>
                <w:szCs w:val="24"/>
                <w:bdr w:val="none" w:color="auto" w:sz="0" w:space="0"/>
              </w:rPr>
              <w:t>时   间   段</w:t>
            </w:r>
          </w:p>
        </w:tc>
        <w:tc>
          <w:tcPr>
            <w:tcW w:w="2094" w:type="dxa"/>
            <w:tcBorders>
              <w:top w:val="single" w:color="000000"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80"/>
              <w:jc w:val="center"/>
            </w:pPr>
            <w:r>
              <w:rPr>
                <w:rStyle w:val="4"/>
                <w:rFonts w:hint="eastAsia" w:ascii="宋体" w:hAnsi="宋体" w:eastAsia="宋体" w:cs="宋体"/>
                <w:color w:val="333333"/>
                <w:sz w:val="24"/>
                <w:szCs w:val="24"/>
                <w:bdr w:val="none" w:color="auto" w:sz="0" w:space="0"/>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775" w:type="dxa"/>
            <w:tcBorders>
              <w:top w:val="single" w:color="auto"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360"/>
            </w:pPr>
            <w:r>
              <w:rPr>
                <w:rFonts w:hint="eastAsia" w:ascii="宋体" w:hAnsi="宋体" w:eastAsia="宋体" w:cs="宋体"/>
                <w:color w:val="333333"/>
                <w:sz w:val="24"/>
                <w:szCs w:val="24"/>
                <w:bdr w:val="none" w:color="auto" w:sz="0" w:space="0"/>
              </w:rPr>
              <w:t>3月26日</w:t>
            </w:r>
          </w:p>
        </w:tc>
        <w:tc>
          <w:tcPr>
            <w:tcW w:w="4261"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rPr>
              <w:t>上午8：00-11：30</w:t>
            </w:r>
          </w:p>
        </w:tc>
        <w:tc>
          <w:tcPr>
            <w:tcW w:w="2094" w:type="dxa"/>
            <w:vMerge w:val="restart"/>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rPr>
              <w:t>考生本人须带本人身份证、同时携带我校体检表（填好并贴照片）和体检费45元。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775" w:type="dxa"/>
            <w:tcBorders>
              <w:top w:val="single" w:color="auto"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360"/>
            </w:pPr>
            <w:r>
              <w:rPr>
                <w:rFonts w:hint="eastAsia" w:ascii="宋体" w:hAnsi="宋体" w:eastAsia="宋体" w:cs="宋体"/>
                <w:color w:val="333333"/>
                <w:sz w:val="24"/>
                <w:szCs w:val="24"/>
                <w:bdr w:val="none" w:color="auto" w:sz="0" w:space="0"/>
              </w:rPr>
              <w:t>3月28日</w:t>
            </w:r>
          </w:p>
        </w:tc>
        <w:tc>
          <w:tcPr>
            <w:tcW w:w="4261"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color w:val="333333"/>
                <w:sz w:val="24"/>
                <w:szCs w:val="24"/>
                <w:bdr w:val="none" w:color="auto" w:sz="0" w:space="0"/>
              </w:rPr>
              <w:t>上午8：00-11：30，下午2：30-5：00</w:t>
            </w:r>
          </w:p>
        </w:tc>
        <w:tc>
          <w:tcPr>
            <w:tcW w:w="2094" w:type="dxa"/>
            <w:vMerge w:val="continue"/>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775" w:type="dxa"/>
            <w:tcBorders>
              <w:top w:val="single" w:color="auto"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360"/>
            </w:pPr>
            <w:r>
              <w:rPr>
                <w:rFonts w:hint="eastAsia" w:ascii="宋体" w:hAnsi="宋体" w:eastAsia="宋体" w:cs="宋体"/>
                <w:color w:val="333333"/>
                <w:sz w:val="24"/>
                <w:szCs w:val="24"/>
                <w:bdr w:val="none" w:color="auto" w:sz="0" w:space="0"/>
              </w:rPr>
              <w:t>3月29日</w:t>
            </w:r>
          </w:p>
        </w:tc>
        <w:tc>
          <w:tcPr>
            <w:tcW w:w="4261"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rPr>
              <w:t>上午8：00-11：30</w:t>
            </w:r>
          </w:p>
        </w:tc>
        <w:tc>
          <w:tcPr>
            <w:tcW w:w="2094" w:type="dxa"/>
            <w:vMerge w:val="continue"/>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1775" w:type="dxa"/>
            <w:tcBorders>
              <w:top w:val="single" w:color="auto"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rPr>
              <w:t>4月2日</w:t>
            </w:r>
          </w:p>
        </w:tc>
        <w:tc>
          <w:tcPr>
            <w:tcW w:w="4261"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rPr>
              <w:t>上午8：00-11：30</w:t>
            </w:r>
          </w:p>
        </w:tc>
        <w:tc>
          <w:tcPr>
            <w:tcW w:w="2094" w:type="dxa"/>
            <w:vMerge w:val="continue"/>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1775" w:type="dxa"/>
            <w:tcBorders>
              <w:top w:val="single" w:color="auto"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rPr>
              <w:t>4月3日</w:t>
            </w:r>
          </w:p>
        </w:tc>
        <w:tc>
          <w:tcPr>
            <w:tcW w:w="4261"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rPr>
              <w:t>上午8：00-11：30</w:t>
            </w:r>
          </w:p>
        </w:tc>
        <w:tc>
          <w:tcPr>
            <w:tcW w:w="2094" w:type="dxa"/>
            <w:vMerge w:val="continue"/>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80"/>
      </w:pPr>
      <w:r>
        <w:rPr>
          <w:rFonts w:hint="eastAsia" w:ascii="宋体" w:hAnsi="宋体" w:eastAsia="宋体" w:cs="宋体"/>
          <w:sz w:val="24"/>
          <w:szCs w:val="24"/>
          <w:bdr w:val="none" w:color="auto" w:sz="0" w:space="0"/>
        </w:rPr>
        <w:t>考生如无法在以上几个时间段内集中体检，也可以在其他上班时间自行到我校石牌校区社区医院自行挂号体检。考生务必携带</w:t>
      </w:r>
      <w:r>
        <w:rPr>
          <w:rStyle w:val="4"/>
          <w:rFonts w:hint="eastAsia" w:ascii="宋体" w:hAnsi="宋体" w:eastAsia="宋体" w:cs="宋体"/>
          <w:sz w:val="24"/>
          <w:szCs w:val="24"/>
          <w:bdr w:val="none" w:color="auto" w:sz="0" w:space="0"/>
        </w:rPr>
        <w:t>身份证</w:t>
      </w:r>
      <w:r>
        <w:rPr>
          <w:rFonts w:hint="eastAsia" w:ascii="宋体" w:hAnsi="宋体" w:eastAsia="宋体" w:cs="宋体"/>
          <w:sz w:val="24"/>
          <w:szCs w:val="24"/>
          <w:bdr w:val="none" w:color="auto" w:sz="0" w:space="0"/>
        </w:rPr>
        <w:t>，体检后将由校医院开具学校招生考试处盖章的回执，</w:t>
      </w:r>
      <w:r>
        <w:rPr>
          <w:rStyle w:val="4"/>
          <w:rFonts w:hint="eastAsia" w:ascii="宋体" w:hAnsi="宋体" w:eastAsia="宋体" w:cs="宋体"/>
          <w:sz w:val="24"/>
          <w:szCs w:val="24"/>
          <w:bdr w:val="none" w:color="auto" w:sz="0" w:space="0"/>
        </w:rPr>
        <w:t>由考生在资格审查时返回至学院作为体检凭证。</w:t>
      </w:r>
      <w:r>
        <w:rPr>
          <w:rFonts w:hint="eastAsia" w:ascii="宋体" w:hAnsi="宋体" w:eastAsia="宋体" w:cs="宋体"/>
          <w:sz w:val="24"/>
          <w:szCs w:val="24"/>
          <w:bdr w:val="none" w:color="auto" w:sz="0" w:space="0"/>
        </w:rPr>
        <w:t>无回执者视为未体检。体检结果如有异常，校医院将立即反馈至学院，由学院通知考生进行复检。合格的体检报告也将由校医院直接返回至学院备查，无需考生领取。</w:t>
      </w:r>
      <w:r>
        <w:rPr>
          <w:rStyle w:val="4"/>
          <w:rFonts w:hint="eastAsia" w:ascii="宋体" w:hAnsi="宋体" w:eastAsia="宋体" w:cs="宋体"/>
          <w:sz w:val="24"/>
          <w:szCs w:val="24"/>
          <w:bdr w:val="none" w:color="auto" w:sz="0" w:space="0"/>
        </w:rPr>
        <w:t>不接受校外医院体检报告或考生邮寄的体检报告。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Style w:val="4"/>
          <w:rFonts w:hint="eastAsia" w:ascii="宋体" w:hAnsi="宋体" w:eastAsia="宋体" w:cs="宋体"/>
          <w:color w:val="333333"/>
          <w:sz w:val="24"/>
          <w:szCs w:val="24"/>
          <w:bdr w:val="none" w:color="auto" w:sz="0" w:space="0"/>
          <w:shd w:val="clear" w:fill="FFFFFF"/>
        </w:rPr>
        <w:t>四、录取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1．所有具备复试资格的考生均须经过复试且合格方能录取。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2．复试成绩=（专业笔试成绩+综合素质考核成绩）/2，复试成绩低于60分，视为复试不合格，不予录取。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480" w:right="0"/>
      </w:pPr>
      <w:r>
        <w:rPr>
          <w:rFonts w:hint="eastAsia" w:ascii="宋体" w:hAnsi="宋体" w:eastAsia="宋体" w:cs="宋体"/>
          <w:color w:val="333333"/>
          <w:sz w:val="24"/>
          <w:szCs w:val="24"/>
          <w:bdr w:val="none" w:color="auto" w:sz="0" w:space="0"/>
          <w:shd w:val="clear" w:fill="FFFFFF"/>
        </w:rPr>
        <w:t>3．复试合格的考生，按照“总成绩=初试总成绩/5×50%+复试成绩×50%”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pPr>
      <w:r>
        <w:rPr>
          <w:rFonts w:hint="eastAsia" w:ascii="宋体" w:hAnsi="宋体" w:eastAsia="宋体" w:cs="宋体"/>
          <w:color w:val="333333"/>
          <w:sz w:val="24"/>
          <w:szCs w:val="24"/>
          <w:bdr w:val="none" w:color="auto" w:sz="0" w:space="0"/>
          <w:shd w:val="clear" w:fill="FFFFFF"/>
        </w:rPr>
        <w:t>计算排名，第一志愿考生与调剂生分开排队，按总成绩从高到低并结合体检情况确定拟录取名单。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4.拟录取名单将在学院网站公示十个工作日。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Style w:val="4"/>
          <w:rFonts w:hint="eastAsia" w:ascii="宋体" w:hAnsi="宋体" w:eastAsia="宋体" w:cs="宋体"/>
          <w:color w:val="333333"/>
          <w:sz w:val="24"/>
          <w:szCs w:val="24"/>
          <w:bdr w:val="none" w:color="auto" w:sz="0" w:space="0"/>
          <w:shd w:val="clear" w:fill="FFFFFF"/>
        </w:rPr>
        <w:t>五、其他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80"/>
      </w:pPr>
      <w:r>
        <w:rPr>
          <w:rFonts w:hint="eastAsia" w:ascii="宋体" w:hAnsi="宋体" w:eastAsia="宋体" w:cs="宋体"/>
          <w:sz w:val="24"/>
          <w:szCs w:val="24"/>
          <w:bdr w:val="none" w:color="auto" w:sz="0" w:space="0"/>
        </w:rPr>
        <w:t>新生应按时报到。不能按时报到者，须有正当理由和有关证明，并向招生单位请假。无故逾期2周不报到者，取消入学资格。应届本科毕业生及自学考试和网络教育届时可毕业本科生考生，入学时（9月1日前）未取得国家承认的本科毕业证书者，取消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Style w:val="4"/>
          <w:rFonts w:hint="eastAsia" w:ascii="宋体" w:hAnsi="宋体" w:eastAsia="宋体" w:cs="宋体"/>
          <w:color w:val="333333"/>
          <w:sz w:val="24"/>
          <w:szCs w:val="24"/>
          <w:bdr w:val="none" w:color="auto" w:sz="0" w:space="0"/>
          <w:shd w:val="clear" w:fill="FFFFFF"/>
        </w:rPr>
        <w:t>六、联系方式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我校2018年硕士复试录取工作异常情况反映和受理部门：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1．华南师范大学纪检监察处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电话：020-85211016 ；电子邮箱：hs801@scnu.edu.cn；通讯地址：广州石牌（邮编510631）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2．华南师范大学研招办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电话：020-85213863；电子邮箱：yjshc2@scnu.edu.cn；通讯地址：广州石牌（邮编510631）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3.华南师范大学脑科学与康复医学研究院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hint="eastAsia" w:ascii="宋体" w:hAnsi="宋体" w:eastAsia="宋体" w:cs="宋体"/>
          <w:color w:val="333333"/>
          <w:sz w:val="24"/>
          <w:szCs w:val="24"/>
          <w:bdr w:val="none" w:color="auto" w:sz="0" w:space="0"/>
          <w:shd w:val="clear" w:fill="FFFFFF"/>
        </w:rPr>
        <w:t>电话：020-85212160；电子邮箱：ibrr001@163.com；通讯地址：广州市天河区中山大道西55号华南师范大学脑科院与康复医学研究院南楼（现信息光电子科技学院）103研工办，邮编：510631。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pPr>
      <w:r>
        <w:rPr>
          <w:rFonts w:ascii="Arial" w:hAnsi="Arial" w:cs="Arial"/>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480" w:right="0"/>
      </w:pPr>
      <w:r>
        <w:rPr>
          <w:rFonts w:hint="eastAsia" w:ascii="宋体" w:hAnsi="宋体" w:eastAsia="宋体" w:cs="宋体"/>
          <w:color w:val="333333"/>
          <w:sz w:val="24"/>
          <w:szCs w:val="24"/>
          <w:bdr w:val="none" w:color="auto" w:sz="0" w:space="0"/>
          <w:shd w:val="clear" w:fill="FFFFFF"/>
        </w:rPr>
        <w:t>                                            脑科学与康复医学研究院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480" w:right="0"/>
      </w:pPr>
      <w:r>
        <w:rPr>
          <w:rFonts w:hint="default" w:ascii="Arial" w:hAnsi="Arial" w:cs="Arial"/>
          <w:color w:val="333333"/>
          <w:sz w:val="24"/>
          <w:szCs w:val="24"/>
          <w:bdr w:val="none" w:color="auto" w:sz="0" w:space="0"/>
          <w:shd w:val="clear" w:fill="FFFFFF"/>
        </w:rPr>
        <w:t>                                                                                          </w:t>
      </w:r>
      <w:r>
        <w:rPr>
          <w:rFonts w:hint="eastAsia" w:ascii="宋体" w:hAnsi="宋体" w:eastAsia="宋体" w:cs="宋体"/>
          <w:color w:val="333333"/>
          <w:sz w:val="24"/>
          <w:szCs w:val="24"/>
          <w:bdr w:val="none" w:color="auto" w:sz="0" w:space="0"/>
          <w:shd w:val="clear" w:fill="FFFFFF"/>
        </w:rPr>
        <w:t>2018年3月27日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Style w:val="4"/>
          <w:rFonts w:hint="eastAsia" w:ascii="宋体" w:hAnsi="宋体" w:eastAsia="宋体" w:cs="宋体"/>
          <w:color w:val="333333"/>
          <w:bdr w:val="none" w:color="auto" w:sz="0" w:space="0"/>
          <w:shd w:val="clear" w:fill="FFFFFF"/>
        </w:rPr>
        <w:t>附：脑科学与康复医学研究院2018年全日制硕士复试名单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pPr>
      <w:r>
        <w:rPr>
          <w:rStyle w:val="4"/>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pPr>
      <w:r>
        <w:rPr>
          <w:rStyle w:val="4"/>
          <w:rFonts w:hint="eastAsia" w:ascii="宋体" w:hAnsi="宋体" w:eastAsia="宋体" w:cs="宋体"/>
          <w:color w:val="333333"/>
          <w:sz w:val="24"/>
          <w:szCs w:val="24"/>
          <w:bdr w:val="none" w:color="auto" w:sz="0" w:space="0"/>
          <w:shd w:val="clear" w:fill="FFFFFF"/>
        </w:rPr>
        <w:t>2018年脑科学与康复医学研究院全日制硕士研究生复试名单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pPr>
      <w:r>
        <w:rPr>
          <w:rStyle w:val="4"/>
          <w:rFonts w:hint="eastAsia" w:ascii="宋体" w:hAnsi="宋体" w:eastAsia="宋体" w:cs="宋体"/>
          <w:color w:val="333333"/>
          <w:sz w:val="24"/>
          <w:szCs w:val="24"/>
          <w:bdr w:val="none" w:color="auto" w:sz="0" w:space="0"/>
          <w:shd w:val="clear" w:fill="FFFFFF"/>
        </w:rPr>
        <w:t>（第一志愿考生）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Style w:val="4"/>
          <w:rFonts w:hint="eastAsia" w:ascii="宋体" w:hAnsi="宋体" w:eastAsia="宋体" w:cs="宋体"/>
          <w:color w:val="333333"/>
          <w:sz w:val="24"/>
          <w:szCs w:val="24"/>
          <w:bdr w:val="none" w:color="auto" w:sz="0" w:space="0"/>
          <w:shd w:val="clear" w:fill="FFFFFF"/>
        </w:rPr>
        <w:t>一、各专业招生人数</w:t>
      </w:r>
    </w:p>
    <w:tbl>
      <w:tblPr>
        <w:tblW w:w="802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532"/>
        <w:gridCol w:w="2598"/>
        <w:gridCol w:w="1204"/>
        <w:gridCol w:w="1338"/>
        <w:gridCol w:w="1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153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333333"/>
                <w:sz w:val="24"/>
                <w:szCs w:val="24"/>
                <w:bdr w:val="none" w:color="auto" w:sz="0" w:space="0"/>
              </w:rPr>
              <w:t>专业代码</w:t>
            </w:r>
          </w:p>
        </w:tc>
        <w:tc>
          <w:tcPr>
            <w:tcW w:w="2598" w:type="dxa"/>
            <w:tcBorders>
              <w:top w:val="single" w:color="000000"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专业名称</w:t>
            </w:r>
          </w:p>
        </w:tc>
        <w:tc>
          <w:tcPr>
            <w:tcW w:w="1204" w:type="dxa"/>
            <w:tcBorders>
              <w:top w:val="single" w:color="000000"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人数</w:t>
            </w:r>
          </w:p>
        </w:tc>
        <w:tc>
          <w:tcPr>
            <w:tcW w:w="1338" w:type="dxa"/>
            <w:tcBorders>
              <w:top w:val="single" w:color="000000"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已招收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推免生数</w:t>
            </w:r>
          </w:p>
        </w:tc>
        <w:tc>
          <w:tcPr>
            <w:tcW w:w="1353" w:type="dxa"/>
            <w:tcBorders>
              <w:top w:val="single" w:color="000000"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复试差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额比例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532" w:type="dxa"/>
            <w:tcBorders>
              <w:top w:val="single" w:color="auto"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040201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040202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040203</w:t>
            </w:r>
          </w:p>
        </w:tc>
        <w:tc>
          <w:tcPr>
            <w:tcW w:w="2598"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基础心理学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发展与教育心理学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应用心理学</w:t>
            </w:r>
          </w:p>
        </w:tc>
        <w:tc>
          <w:tcPr>
            <w:tcW w:w="1204"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Arial" w:hAnsi="Arial" w:cs="Arial"/>
                <w:color w:val="333333"/>
                <w:sz w:val="24"/>
                <w:szCs w:val="24"/>
                <w:bdr w:val="none" w:color="auto" w:sz="0" w:space="0"/>
              </w:rPr>
              <w:t>5</w:t>
            </w:r>
          </w:p>
        </w:tc>
        <w:tc>
          <w:tcPr>
            <w:tcW w:w="1338"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Arial" w:hAnsi="Arial" w:cs="Arial"/>
                <w:color w:val="333333"/>
                <w:sz w:val="24"/>
                <w:szCs w:val="24"/>
                <w:bdr w:val="none" w:color="auto" w:sz="0" w:space="0"/>
              </w:rPr>
              <w:t>0</w:t>
            </w:r>
          </w:p>
        </w:tc>
        <w:tc>
          <w:tcPr>
            <w:tcW w:w="1353"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Arial" w:hAnsi="Arial" w:cs="Arial"/>
                <w:color w:val="333333"/>
                <w:sz w:val="24"/>
                <w:szCs w:val="24"/>
                <w:bdr w:val="none" w:color="auto" w:sz="0" w:space="0"/>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532" w:type="dxa"/>
            <w:tcBorders>
              <w:top w:val="single" w:color="auto"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100705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80"/>
            </w:pPr>
            <w:r>
              <w:rPr>
                <w:rFonts w:hint="default" w:ascii="Arial" w:hAnsi="Arial" w:cs="Arial"/>
                <w:color w:val="333333"/>
                <w:sz w:val="24"/>
                <w:szCs w:val="24"/>
                <w:bdr w:val="none" w:color="auto" w:sz="0" w:space="0"/>
              </w:rPr>
              <w:t> </w:t>
            </w:r>
          </w:p>
        </w:tc>
        <w:tc>
          <w:tcPr>
            <w:tcW w:w="2598"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80"/>
            </w:pPr>
            <w:r>
              <w:rPr>
                <w:rFonts w:hint="eastAsia" w:ascii="宋体" w:hAnsi="宋体" w:eastAsia="宋体" w:cs="宋体"/>
                <w:color w:val="333333"/>
                <w:sz w:val="24"/>
                <w:szCs w:val="24"/>
                <w:bdr w:val="none" w:color="auto" w:sz="0" w:space="0"/>
              </w:rPr>
              <w:t>微生物与生化药学</w:t>
            </w:r>
            <w:r>
              <w:rPr>
                <w:rFonts w:hint="default" w:ascii="Arial" w:hAnsi="Arial" w:cs="Arial"/>
                <w:color w:val="333333"/>
                <w:sz w:val="24"/>
                <w:szCs w:val="24"/>
                <w:bdr w:val="none" w:color="auto" w:sz="0" w:space="0"/>
              </w:rPr>
              <w:t> </w:t>
            </w:r>
          </w:p>
        </w:tc>
        <w:tc>
          <w:tcPr>
            <w:tcW w:w="1204"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Arial" w:hAnsi="Arial" w:cs="Arial"/>
                <w:color w:val="333333"/>
                <w:sz w:val="24"/>
                <w:szCs w:val="24"/>
                <w:bdr w:val="none" w:color="auto" w:sz="0" w:space="0"/>
              </w:rPr>
              <w:t>5</w:t>
            </w:r>
          </w:p>
        </w:tc>
        <w:tc>
          <w:tcPr>
            <w:tcW w:w="1338"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Arial" w:hAnsi="Arial" w:cs="Arial"/>
                <w:color w:val="333333"/>
                <w:sz w:val="24"/>
                <w:szCs w:val="24"/>
                <w:bdr w:val="none" w:color="auto" w:sz="0" w:space="0"/>
              </w:rPr>
              <w:t>0</w:t>
            </w:r>
          </w:p>
        </w:tc>
        <w:tc>
          <w:tcPr>
            <w:tcW w:w="1353"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Arial" w:hAnsi="Arial" w:cs="Arial"/>
                <w:color w:val="333333"/>
                <w:sz w:val="24"/>
                <w:szCs w:val="24"/>
                <w:bdr w:val="none" w:color="auto" w:sz="0" w:space="0"/>
              </w:rPr>
              <w:t>1:1.8</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80"/>
      </w:pPr>
      <w:r>
        <w:rPr>
          <w:rFonts w:hint="default" w:ascii="Arial" w:hAnsi="Arial" w:cs="Arial"/>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Style w:val="4"/>
          <w:rFonts w:hint="eastAsia" w:ascii="宋体" w:hAnsi="宋体" w:eastAsia="宋体" w:cs="宋体"/>
          <w:color w:val="333333"/>
          <w:sz w:val="24"/>
          <w:szCs w:val="24"/>
          <w:bdr w:val="none" w:color="auto" w:sz="0" w:space="0"/>
          <w:shd w:val="clear" w:fill="FFFFFF"/>
        </w:rPr>
        <w:t>二、初试合格最低分数线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color w:val="333333"/>
          <w:sz w:val="24"/>
          <w:szCs w:val="24"/>
          <w:bdr w:val="none" w:color="auto" w:sz="0" w:space="0"/>
          <w:shd w:val="clear" w:fill="FFFFFF"/>
        </w:rPr>
        <w:t>按照《2018年华南师范大学招收全日制硕士研究生复试方案》，经各专业指导组讨论，确定我院相关专业第一志愿考生初试合格最低分数线为：</w:t>
      </w:r>
    </w:p>
    <w:tbl>
      <w:tblPr>
        <w:tblW w:w="7164"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532"/>
        <w:gridCol w:w="1052"/>
        <w:gridCol w:w="1078"/>
        <w:gridCol w:w="1078"/>
        <w:gridCol w:w="1212"/>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153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专业代码</w:t>
            </w:r>
          </w:p>
        </w:tc>
        <w:tc>
          <w:tcPr>
            <w:tcW w:w="1052" w:type="dxa"/>
            <w:tcBorders>
              <w:top w:val="single" w:color="000000"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专业名称</w:t>
            </w:r>
          </w:p>
        </w:tc>
        <w:tc>
          <w:tcPr>
            <w:tcW w:w="1078" w:type="dxa"/>
            <w:tcBorders>
              <w:top w:val="single" w:color="000000"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政治</w:t>
            </w:r>
          </w:p>
        </w:tc>
        <w:tc>
          <w:tcPr>
            <w:tcW w:w="1078" w:type="dxa"/>
            <w:tcBorders>
              <w:top w:val="single" w:color="000000"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外国语</w:t>
            </w:r>
          </w:p>
        </w:tc>
        <w:tc>
          <w:tcPr>
            <w:tcW w:w="1212" w:type="dxa"/>
            <w:tcBorders>
              <w:top w:val="single" w:color="000000"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业务一</w:t>
            </w:r>
          </w:p>
        </w:tc>
        <w:tc>
          <w:tcPr>
            <w:tcW w:w="1212" w:type="dxa"/>
            <w:tcBorders>
              <w:top w:val="single" w:color="000000"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1532" w:type="dxa"/>
            <w:tcBorders>
              <w:top w:val="single" w:color="auto"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040201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040202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040203</w:t>
            </w:r>
          </w:p>
        </w:tc>
        <w:tc>
          <w:tcPr>
            <w:tcW w:w="1052"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基础心理学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发展与教育心理学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应用心理学</w:t>
            </w:r>
          </w:p>
        </w:tc>
        <w:tc>
          <w:tcPr>
            <w:tcW w:w="1078"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Arial" w:hAnsi="Arial" w:cs="Arial"/>
                <w:color w:val="333333"/>
                <w:sz w:val="24"/>
                <w:szCs w:val="24"/>
                <w:bdr w:val="none" w:color="auto" w:sz="0" w:space="0"/>
              </w:rPr>
              <w:t>44</w:t>
            </w:r>
          </w:p>
        </w:tc>
        <w:tc>
          <w:tcPr>
            <w:tcW w:w="1078"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Arial" w:hAnsi="Arial" w:cs="Arial"/>
                <w:color w:val="333333"/>
                <w:sz w:val="24"/>
                <w:szCs w:val="24"/>
                <w:bdr w:val="none" w:color="auto" w:sz="0" w:space="0"/>
              </w:rPr>
              <w:t>44</w:t>
            </w:r>
          </w:p>
        </w:tc>
        <w:tc>
          <w:tcPr>
            <w:tcW w:w="1212"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Arial" w:hAnsi="Arial" w:cs="Arial"/>
                <w:color w:val="333333"/>
                <w:sz w:val="24"/>
                <w:szCs w:val="24"/>
                <w:bdr w:val="none" w:color="auto" w:sz="0" w:space="0"/>
              </w:rPr>
              <w:t>132</w:t>
            </w:r>
          </w:p>
        </w:tc>
        <w:tc>
          <w:tcPr>
            <w:tcW w:w="1212"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Arial" w:hAnsi="Arial" w:cs="Arial"/>
                <w:color w:val="333333"/>
                <w:sz w:val="24"/>
                <w:szCs w:val="24"/>
                <w:bdr w:val="none" w:color="auto" w:sz="0" w:space="0"/>
              </w:rPr>
              <w:t>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1532" w:type="dxa"/>
            <w:tcBorders>
              <w:top w:val="single" w:color="auto"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100705</w:t>
            </w:r>
          </w:p>
        </w:tc>
        <w:tc>
          <w:tcPr>
            <w:tcW w:w="1052"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color w:val="333333"/>
                <w:sz w:val="24"/>
                <w:szCs w:val="24"/>
                <w:bdr w:val="none" w:color="auto" w:sz="0" w:space="0"/>
              </w:rPr>
              <w:t>微生物与生化药学</w:t>
            </w:r>
          </w:p>
        </w:tc>
        <w:tc>
          <w:tcPr>
            <w:tcW w:w="1078"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Arial" w:hAnsi="Arial" w:cs="Arial"/>
                <w:color w:val="333333"/>
                <w:sz w:val="24"/>
                <w:szCs w:val="24"/>
                <w:bdr w:val="none" w:color="auto" w:sz="0" w:space="0"/>
              </w:rPr>
              <w:t>40</w:t>
            </w:r>
          </w:p>
        </w:tc>
        <w:tc>
          <w:tcPr>
            <w:tcW w:w="1078"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Arial" w:hAnsi="Arial" w:cs="Arial"/>
                <w:color w:val="333333"/>
                <w:sz w:val="24"/>
                <w:szCs w:val="24"/>
                <w:bdr w:val="none" w:color="auto" w:sz="0" w:space="0"/>
              </w:rPr>
              <w:t>40</w:t>
            </w:r>
          </w:p>
        </w:tc>
        <w:tc>
          <w:tcPr>
            <w:tcW w:w="1212"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Arial" w:hAnsi="Arial" w:cs="Arial"/>
                <w:color w:val="333333"/>
                <w:sz w:val="24"/>
                <w:szCs w:val="24"/>
                <w:bdr w:val="none" w:color="auto" w:sz="0" w:space="0"/>
              </w:rPr>
              <w:t>120</w:t>
            </w:r>
          </w:p>
        </w:tc>
        <w:tc>
          <w:tcPr>
            <w:tcW w:w="1212"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Arial" w:hAnsi="Arial" w:cs="Arial"/>
                <w:color w:val="333333"/>
                <w:sz w:val="24"/>
                <w:szCs w:val="24"/>
                <w:bdr w:val="none" w:color="auto" w:sz="0" w:space="0"/>
              </w:rPr>
              <w:t>300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80"/>
      </w:pPr>
      <w:r>
        <w:rPr>
          <w:rFonts w:hint="default" w:ascii="Arial" w:hAnsi="Arial" w:cs="Arial"/>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Style w:val="4"/>
          <w:rFonts w:hint="eastAsia" w:ascii="宋体" w:hAnsi="宋体" w:eastAsia="宋体" w:cs="宋体"/>
          <w:color w:val="333333"/>
          <w:sz w:val="24"/>
          <w:szCs w:val="24"/>
          <w:bdr w:val="none" w:color="auto" w:sz="0" w:space="0"/>
          <w:shd w:val="clear" w:fill="FFFFFF"/>
        </w:rPr>
        <w:t>三、复试名单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pPr>
      <w:r>
        <w:rPr>
          <w:rFonts w:hint="eastAsia" w:ascii="宋体" w:hAnsi="宋体" w:eastAsia="宋体" w:cs="宋体"/>
          <w:color w:val="333333"/>
          <w:sz w:val="24"/>
          <w:szCs w:val="24"/>
          <w:bdr w:val="none" w:color="auto" w:sz="0" w:space="0"/>
          <w:shd w:val="clear" w:fill="FFFFFF"/>
        </w:rPr>
        <w:t>按照差额比例，确定第一志愿考生复试名单如下：</w:t>
      </w:r>
    </w:p>
    <w:tbl>
      <w:tblPr>
        <w:tblW w:w="8177"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532"/>
        <w:gridCol w:w="1665"/>
        <w:gridCol w:w="3210"/>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153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专业代码</w:t>
            </w:r>
          </w:p>
        </w:tc>
        <w:tc>
          <w:tcPr>
            <w:tcW w:w="1665" w:type="dxa"/>
            <w:tcBorders>
              <w:top w:val="single" w:color="000000"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专业名称</w:t>
            </w:r>
          </w:p>
        </w:tc>
        <w:tc>
          <w:tcPr>
            <w:tcW w:w="3210" w:type="dxa"/>
            <w:tcBorders>
              <w:top w:val="single" w:color="000000"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考生编号</w:t>
            </w:r>
          </w:p>
        </w:tc>
        <w:tc>
          <w:tcPr>
            <w:tcW w:w="1770" w:type="dxa"/>
            <w:tcBorders>
              <w:top w:val="single" w:color="000000"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考生姓名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532" w:type="dxa"/>
            <w:vMerge w:val="restart"/>
            <w:tcBorders>
              <w:top w:val="single" w:color="auto"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040201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040202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040203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80"/>
            </w:pPr>
            <w:r>
              <w:rPr>
                <w:rFonts w:hint="default" w:ascii="Arial" w:hAnsi="Arial" w:cs="Arial"/>
                <w:color w:val="333333"/>
                <w:sz w:val="24"/>
                <w:szCs w:val="24"/>
                <w:bdr w:val="none" w:color="auto" w:sz="0" w:space="0"/>
              </w:rPr>
              <w:t> </w:t>
            </w:r>
          </w:p>
        </w:tc>
        <w:tc>
          <w:tcPr>
            <w:tcW w:w="1665" w:type="dxa"/>
            <w:vMerge w:val="restart"/>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基础心理学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发展与教育心理学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应用心理学</w:t>
            </w:r>
          </w:p>
        </w:tc>
        <w:tc>
          <w:tcPr>
            <w:tcW w:w="321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Arial" w:hAnsi="Arial" w:cs="Arial"/>
                <w:color w:val="333333"/>
                <w:sz w:val="24"/>
                <w:szCs w:val="24"/>
                <w:bdr w:val="none" w:color="auto" w:sz="0" w:space="0"/>
              </w:rPr>
              <w:t>105748000002195</w:t>
            </w:r>
          </w:p>
        </w:tc>
        <w:tc>
          <w:tcPr>
            <w:tcW w:w="177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梁丽雅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532" w:type="dxa"/>
            <w:vMerge w:val="continue"/>
            <w:tcBorders>
              <w:top w:val="single" w:color="auto"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pPr>
              <w:rPr>
                <w:rFonts w:hint="eastAsia" w:ascii="宋体"/>
                <w:sz w:val="24"/>
                <w:szCs w:val="24"/>
              </w:rPr>
            </w:pPr>
          </w:p>
        </w:tc>
        <w:tc>
          <w:tcPr>
            <w:tcW w:w="1665" w:type="dxa"/>
            <w:vMerge w:val="continue"/>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rPr>
                <w:rFonts w:hint="eastAsia" w:ascii="宋体"/>
                <w:sz w:val="24"/>
                <w:szCs w:val="24"/>
              </w:rPr>
            </w:pPr>
          </w:p>
        </w:tc>
        <w:tc>
          <w:tcPr>
            <w:tcW w:w="321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Arial" w:hAnsi="Arial" w:cs="Arial"/>
                <w:color w:val="333333"/>
                <w:sz w:val="24"/>
                <w:szCs w:val="24"/>
                <w:bdr w:val="none" w:color="auto" w:sz="0" w:space="0"/>
              </w:rPr>
              <w:t>105748000001577</w:t>
            </w:r>
          </w:p>
        </w:tc>
        <w:tc>
          <w:tcPr>
            <w:tcW w:w="177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何苗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1532" w:type="dxa"/>
            <w:vMerge w:val="continue"/>
            <w:tcBorders>
              <w:top w:val="single" w:color="auto"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pPr>
              <w:rPr>
                <w:rFonts w:hint="eastAsia" w:ascii="宋体"/>
                <w:sz w:val="24"/>
                <w:szCs w:val="24"/>
              </w:rPr>
            </w:pPr>
          </w:p>
        </w:tc>
        <w:tc>
          <w:tcPr>
            <w:tcW w:w="1665" w:type="dxa"/>
            <w:vMerge w:val="continue"/>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rPr>
                <w:rFonts w:hint="eastAsia" w:ascii="宋体"/>
                <w:sz w:val="24"/>
                <w:szCs w:val="24"/>
              </w:rPr>
            </w:pPr>
          </w:p>
        </w:tc>
        <w:tc>
          <w:tcPr>
            <w:tcW w:w="321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Arial" w:hAnsi="Arial" w:cs="Arial"/>
                <w:color w:val="333333"/>
                <w:sz w:val="24"/>
                <w:szCs w:val="24"/>
                <w:bdr w:val="none" w:color="auto" w:sz="0" w:space="0"/>
              </w:rPr>
              <w:t>105748000001917</w:t>
            </w:r>
          </w:p>
        </w:tc>
        <w:tc>
          <w:tcPr>
            <w:tcW w:w="177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李贞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532" w:type="dxa"/>
            <w:vMerge w:val="continue"/>
            <w:tcBorders>
              <w:top w:val="single" w:color="auto"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pPr>
              <w:rPr>
                <w:rFonts w:hint="eastAsia" w:ascii="宋体"/>
                <w:sz w:val="24"/>
                <w:szCs w:val="24"/>
              </w:rPr>
            </w:pPr>
          </w:p>
        </w:tc>
        <w:tc>
          <w:tcPr>
            <w:tcW w:w="1665" w:type="dxa"/>
            <w:vMerge w:val="continue"/>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rPr>
                <w:rFonts w:hint="eastAsia" w:ascii="宋体"/>
                <w:sz w:val="24"/>
                <w:szCs w:val="24"/>
              </w:rPr>
            </w:pPr>
          </w:p>
        </w:tc>
        <w:tc>
          <w:tcPr>
            <w:tcW w:w="321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Arial" w:hAnsi="Arial" w:cs="Arial"/>
                <w:color w:val="333333"/>
                <w:sz w:val="24"/>
                <w:szCs w:val="24"/>
                <w:bdr w:val="none" w:color="auto" w:sz="0" w:space="0"/>
              </w:rPr>
              <w:t>105748000001826</w:t>
            </w:r>
          </w:p>
        </w:tc>
        <w:tc>
          <w:tcPr>
            <w:tcW w:w="177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廖洪雁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1532" w:type="dxa"/>
            <w:vMerge w:val="continue"/>
            <w:tcBorders>
              <w:top w:val="single" w:color="auto"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pPr>
              <w:rPr>
                <w:rFonts w:hint="eastAsia" w:ascii="宋体"/>
                <w:sz w:val="24"/>
                <w:szCs w:val="24"/>
              </w:rPr>
            </w:pPr>
          </w:p>
        </w:tc>
        <w:tc>
          <w:tcPr>
            <w:tcW w:w="1665" w:type="dxa"/>
            <w:vMerge w:val="continue"/>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rPr>
                <w:rFonts w:hint="eastAsia" w:ascii="宋体"/>
                <w:sz w:val="24"/>
                <w:szCs w:val="24"/>
              </w:rPr>
            </w:pPr>
          </w:p>
        </w:tc>
        <w:tc>
          <w:tcPr>
            <w:tcW w:w="321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Arial" w:hAnsi="Arial" w:cs="Arial"/>
                <w:color w:val="333333"/>
                <w:sz w:val="24"/>
                <w:szCs w:val="24"/>
                <w:bdr w:val="none" w:color="auto" w:sz="0" w:space="0"/>
              </w:rPr>
              <w:t>105748000002003</w:t>
            </w:r>
          </w:p>
        </w:tc>
        <w:tc>
          <w:tcPr>
            <w:tcW w:w="177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侯泽亮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1532" w:type="dxa"/>
            <w:vMerge w:val="continue"/>
            <w:tcBorders>
              <w:top w:val="single" w:color="auto"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pPr>
              <w:rPr>
                <w:rFonts w:hint="eastAsia" w:ascii="宋体"/>
                <w:sz w:val="24"/>
                <w:szCs w:val="24"/>
              </w:rPr>
            </w:pPr>
          </w:p>
        </w:tc>
        <w:tc>
          <w:tcPr>
            <w:tcW w:w="1665" w:type="dxa"/>
            <w:vMerge w:val="continue"/>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rPr>
                <w:rFonts w:hint="eastAsia" w:ascii="宋体"/>
                <w:sz w:val="24"/>
                <w:szCs w:val="24"/>
              </w:rPr>
            </w:pPr>
          </w:p>
        </w:tc>
        <w:tc>
          <w:tcPr>
            <w:tcW w:w="321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default" w:ascii="Arial" w:hAnsi="Arial" w:cs="Arial"/>
                <w:color w:val="333333"/>
                <w:sz w:val="24"/>
                <w:szCs w:val="24"/>
                <w:bdr w:val="none" w:color="auto" w:sz="0" w:space="0"/>
              </w:rPr>
              <w:t>105748000002247</w:t>
            </w:r>
          </w:p>
        </w:tc>
        <w:tc>
          <w:tcPr>
            <w:tcW w:w="177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王鑫麟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1532" w:type="dxa"/>
            <w:vMerge w:val="continue"/>
            <w:tcBorders>
              <w:top w:val="single" w:color="auto"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pPr>
              <w:rPr>
                <w:rFonts w:hint="eastAsia" w:ascii="宋体"/>
                <w:sz w:val="24"/>
                <w:szCs w:val="24"/>
              </w:rPr>
            </w:pPr>
          </w:p>
        </w:tc>
        <w:tc>
          <w:tcPr>
            <w:tcW w:w="1665" w:type="dxa"/>
            <w:vMerge w:val="continue"/>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rPr>
                <w:rFonts w:hint="eastAsia" w:ascii="宋体"/>
                <w:sz w:val="24"/>
                <w:szCs w:val="24"/>
              </w:rPr>
            </w:pPr>
          </w:p>
        </w:tc>
        <w:tc>
          <w:tcPr>
            <w:tcW w:w="321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pPr>
          </w:p>
        </w:tc>
        <w:tc>
          <w:tcPr>
            <w:tcW w:w="177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1532" w:type="dxa"/>
            <w:vMerge w:val="continue"/>
            <w:tcBorders>
              <w:top w:val="single" w:color="auto"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top"/>
          </w:tcPr>
          <w:p>
            <w:pPr>
              <w:rPr>
                <w:rFonts w:hint="eastAsia" w:ascii="宋体"/>
                <w:sz w:val="24"/>
                <w:szCs w:val="24"/>
              </w:rPr>
            </w:pPr>
          </w:p>
        </w:tc>
        <w:tc>
          <w:tcPr>
            <w:tcW w:w="1665" w:type="dxa"/>
            <w:vMerge w:val="continue"/>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top"/>
          </w:tcPr>
          <w:p>
            <w:pPr>
              <w:rPr>
                <w:rFonts w:hint="eastAsia" w:ascii="宋体"/>
                <w:sz w:val="24"/>
                <w:szCs w:val="24"/>
              </w:rPr>
            </w:pPr>
          </w:p>
        </w:tc>
        <w:tc>
          <w:tcPr>
            <w:tcW w:w="321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pPr>
          </w:p>
        </w:tc>
        <w:tc>
          <w:tcPr>
            <w:tcW w:w="177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1532" w:type="dxa"/>
            <w:vMerge w:val="restart"/>
            <w:tcBorders>
              <w:top w:val="single" w:color="auto"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color w:val="333333"/>
                <w:sz w:val="24"/>
                <w:szCs w:val="24"/>
                <w:bdr w:val="none" w:color="auto" w:sz="0" w:space="0"/>
              </w:rPr>
              <w:t>100705</w:t>
            </w:r>
          </w:p>
        </w:tc>
        <w:tc>
          <w:tcPr>
            <w:tcW w:w="1665" w:type="dxa"/>
            <w:vMerge w:val="restart"/>
            <w:tcBorders>
              <w:top w:val="single" w:color="auto" w:sz="6" w:space="0"/>
              <w:left w:val="single" w:color="auto" w:sz="6" w:space="0"/>
              <w:bottom w:val="single" w:color="000000" w:sz="6" w:space="0"/>
              <w:right w:val="single"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sz w:val="24"/>
                <w:szCs w:val="24"/>
                <w:bdr w:val="none" w:color="auto" w:sz="0" w:space="0"/>
              </w:rPr>
              <w:t>微生物与生化药学</w:t>
            </w:r>
          </w:p>
        </w:tc>
        <w:tc>
          <w:tcPr>
            <w:tcW w:w="321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105748000003870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pPr>
          </w:p>
        </w:tc>
        <w:tc>
          <w:tcPr>
            <w:tcW w:w="177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王苗淼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532" w:type="dxa"/>
            <w:vMerge w:val="continue"/>
            <w:tcBorders>
              <w:top w:val="single" w:color="auto"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665" w:type="dxa"/>
            <w:vMerge w:val="continue"/>
            <w:tcBorders>
              <w:top w:val="single" w:color="auto" w:sz="6" w:space="0"/>
              <w:left w:val="single" w:color="auto" w:sz="6" w:space="0"/>
              <w:bottom w:val="single" w:color="000000" w:sz="6" w:space="0"/>
              <w:right w:val="single" w:color="000000" w:sz="6" w:space="0"/>
            </w:tcBorders>
            <w:shd w:val="clear"/>
            <w:vAlign w:val="center"/>
          </w:tcPr>
          <w:p>
            <w:pPr>
              <w:rPr>
                <w:rFonts w:hint="eastAsia" w:ascii="宋体"/>
                <w:sz w:val="24"/>
                <w:szCs w:val="24"/>
              </w:rPr>
            </w:pPr>
          </w:p>
        </w:tc>
        <w:tc>
          <w:tcPr>
            <w:tcW w:w="321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105748000003871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pPr>
          </w:p>
        </w:tc>
        <w:tc>
          <w:tcPr>
            <w:tcW w:w="177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林冠宇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1532" w:type="dxa"/>
            <w:vMerge w:val="continue"/>
            <w:tcBorders>
              <w:top w:val="single" w:color="auto"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665" w:type="dxa"/>
            <w:vMerge w:val="continue"/>
            <w:tcBorders>
              <w:top w:val="single" w:color="auto" w:sz="6" w:space="0"/>
              <w:left w:val="single" w:color="auto" w:sz="6" w:space="0"/>
              <w:bottom w:val="single" w:color="000000" w:sz="6" w:space="0"/>
              <w:right w:val="single" w:color="000000" w:sz="6" w:space="0"/>
            </w:tcBorders>
            <w:shd w:val="clear"/>
            <w:vAlign w:val="center"/>
          </w:tcPr>
          <w:p>
            <w:pPr>
              <w:rPr>
                <w:rFonts w:hint="eastAsia" w:ascii="宋体"/>
                <w:sz w:val="24"/>
                <w:szCs w:val="24"/>
              </w:rPr>
            </w:pPr>
          </w:p>
        </w:tc>
        <w:tc>
          <w:tcPr>
            <w:tcW w:w="321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105748000003875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pPr>
          </w:p>
        </w:tc>
        <w:tc>
          <w:tcPr>
            <w:tcW w:w="177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林绮祺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532" w:type="dxa"/>
            <w:vMerge w:val="continue"/>
            <w:tcBorders>
              <w:top w:val="single" w:color="auto"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665" w:type="dxa"/>
            <w:vMerge w:val="continue"/>
            <w:tcBorders>
              <w:top w:val="single" w:color="auto" w:sz="6" w:space="0"/>
              <w:left w:val="single" w:color="auto" w:sz="6" w:space="0"/>
              <w:bottom w:val="single" w:color="000000" w:sz="6" w:space="0"/>
              <w:right w:val="single" w:color="000000" w:sz="6" w:space="0"/>
            </w:tcBorders>
            <w:shd w:val="clear"/>
            <w:vAlign w:val="center"/>
          </w:tcPr>
          <w:p>
            <w:pPr>
              <w:rPr>
                <w:rFonts w:hint="eastAsia" w:ascii="宋体"/>
                <w:sz w:val="24"/>
                <w:szCs w:val="24"/>
              </w:rPr>
            </w:pPr>
          </w:p>
        </w:tc>
        <w:tc>
          <w:tcPr>
            <w:tcW w:w="321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105748000003877</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center"/>
            </w:pPr>
          </w:p>
        </w:tc>
        <w:tc>
          <w:tcPr>
            <w:tcW w:w="177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宋体" w:hAnsi="宋体" w:eastAsia="宋体" w:cs="宋体"/>
                <w:color w:val="333333"/>
                <w:sz w:val="24"/>
                <w:szCs w:val="24"/>
                <w:bdr w:val="none" w:color="auto" w:sz="0" w:space="0"/>
              </w:rPr>
              <w:t>刘茂满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532" w:type="dxa"/>
            <w:vMerge w:val="continue"/>
            <w:tcBorders>
              <w:top w:val="single" w:color="auto"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665" w:type="dxa"/>
            <w:vMerge w:val="continue"/>
            <w:tcBorders>
              <w:top w:val="single" w:color="auto" w:sz="6" w:space="0"/>
              <w:left w:val="single" w:color="auto" w:sz="6" w:space="0"/>
              <w:bottom w:val="single" w:color="000000" w:sz="6" w:space="0"/>
              <w:right w:val="single" w:color="000000" w:sz="6" w:space="0"/>
            </w:tcBorders>
            <w:shd w:val="clear"/>
            <w:vAlign w:val="center"/>
          </w:tcPr>
          <w:p>
            <w:pPr>
              <w:rPr>
                <w:rFonts w:hint="eastAsia" w:ascii="宋体"/>
                <w:sz w:val="24"/>
                <w:szCs w:val="24"/>
              </w:rPr>
            </w:pPr>
          </w:p>
        </w:tc>
        <w:tc>
          <w:tcPr>
            <w:tcW w:w="321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pPr>
          </w:p>
        </w:tc>
        <w:tc>
          <w:tcPr>
            <w:tcW w:w="177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1532" w:type="dxa"/>
            <w:vMerge w:val="continue"/>
            <w:tcBorders>
              <w:top w:val="single" w:color="auto"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665" w:type="dxa"/>
            <w:vMerge w:val="continue"/>
            <w:tcBorders>
              <w:top w:val="single" w:color="auto" w:sz="6" w:space="0"/>
              <w:left w:val="single" w:color="auto" w:sz="6" w:space="0"/>
              <w:bottom w:val="single" w:color="000000" w:sz="6" w:space="0"/>
              <w:right w:val="single" w:color="000000" w:sz="6" w:space="0"/>
            </w:tcBorders>
            <w:shd w:val="clear"/>
            <w:vAlign w:val="center"/>
          </w:tcPr>
          <w:p>
            <w:pPr>
              <w:rPr>
                <w:rFonts w:hint="eastAsia" w:ascii="宋体"/>
                <w:sz w:val="24"/>
                <w:szCs w:val="24"/>
              </w:rPr>
            </w:pPr>
          </w:p>
        </w:tc>
        <w:tc>
          <w:tcPr>
            <w:tcW w:w="321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pPr>
          </w:p>
        </w:tc>
        <w:tc>
          <w:tcPr>
            <w:tcW w:w="1770" w:type="dxa"/>
            <w:tcBorders>
              <w:top w:val="single" w:color="auto" w:sz="6" w:space="0"/>
              <w:left w:val="single" w:color="auto"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Style w:val="4"/>
          <w:rFonts w:hint="eastAsia" w:ascii="宋体" w:hAnsi="宋体" w:eastAsia="宋体" w:cs="宋体"/>
          <w:sz w:val="28"/>
          <w:szCs w:val="28"/>
          <w:bdr w:val="none" w:color="auto" w:sz="0" w:space="0"/>
        </w:rPr>
        <w:t>调剂考生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80"/>
      </w:pPr>
      <w:r>
        <w:rPr>
          <w:rFonts w:hint="eastAsia" w:ascii="宋体" w:hAnsi="宋体" w:eastAsia="宋体" w:cs="宋体"/>
          <w:sz w:val="24"/>
          <w:szCs w:val="24"/>
          <w:bdr w:val="none" w:color="auto" w:sz="0" w:space="0"/>
        </w:rPr>
        <w:t>按照我校调剂办法，经考生申请，我院微生物与生化药学专业指导组审查和筛选，根据专业培养要求，各专业指导组按照</w:t>
      </w:r>
      <w:r>
        <w:rPr>
          <w:sz w:val="24"/>
          <w:szCs w:val="24"/>
          <w:bdr w:val="none" w:color="auto" w:sz="0" w:space="0"/>
        </w:rPr>
        <w:t>1</w:t>
      </w:r>
      <w:r>
        <w:rPr>
          <w:rFonts w:hint="eastAsia" w:ascii="宋体" w:hAnsi="宋体" w:eastAsia="宋体" w:cs="宋体"/>
          <w:sz w:val="24"/>
          <w:szCs w:val="24"/>
          <w:bdr w:val="none" w:color="auto" w:sz="0" w:space="0"/>
        </w:rPr>
        <w:t>：</w:t>
      </w:r>
      <w:r>
        <w:rPr>
          <w:sz w:val="24"/>
          <w:szCs w:val="24"/>
          <w:bdr w:val="none" w:color="auto" w:sz="0" w:space="0"/>
        </w:rPr>
        <w:t>2</w:t>
      </w:r>
      <w:r>
        <w:rPr>
          <w:rFonts w:hint="eastAsia" w:ascii="宋体" w:hAnsi="宋体" w:eastAsia="宋体" w:cs="宋体"/>
          <w:sz w:val="24"/>
          <w:szCs w:val="24"/>
          <w:bdr w:val="none" w:color="auto" w:sz="0" w:space="0"/>
        </w:rPr>
        <w:t>—</w:t>
      </w:r>
      <w:r>
        <w:rPr>
          <w:sz w:val="24"/>
          <w:szCs w:val="24"/>
          <w:bdr w:val="none" w:color="auto" w:sz="0" w:space="0"/>
        </w:rPr>
        <w:t>1</w:t>
      </w:r>
      <w:r>
        <w:rPr>
          <w:rFonts w:hint="eastAsia" w:ascii="宋体" w:hAnsi="宋体" w:eastAsia="宋体" w:cs="宋体"/>
          <w:sz w:val="24"/>
          <w:szCs w:val="24"/>
          <w:bdr w:val="none" w:color="auto" w:sz="0" w:space="0"/>
        </w:rPr>
        <w:t>：</w:t>
      </w:r>
      <w:r>
        <w:rPr>
          <w:sz w:val="24"/>
          <w:szCs w:val="24"/>
          <w:bdr w:val="none" w:color="auto" w:sz="0" w:space="0"/>
        </w:rPr>
        <w:t>1.8</w:t>
      </w:r>
      <w:r>
        <w:rPr>
          <w:rFonts w:hint="eastAsia" w:ascii="宋体" w:hAnsi="宋体" w:eastAsia="宋体" w:cs="宋体"/>
          <w:sz w:val="24"/>
          <w:szCs w:val="24"/>
          <w:bdr w:val="none" w:color="auto" w:sz="0" w:space="0"/>
        </w:rPr>
        <w:t>的差额比例，确定调剂考生复试名单如下（因调剂生流动性较大，最后实际参加复试的名单以研招网调剂系统上的为准）：</w:t>
      </w:r>
    </w:p>
    <w:tbl>
      <w:tblPr>
        <w:tblW w:w="708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60"/>
        <w:gridCol w:w="1305"/>
        <w:gridCol w:w="1125"/>
        <w:gridCol w:w="241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6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宋体" w:hAnsi="宋体" w:eastAsia="宋体" w:cs="宋体"/>
                <w:sz w:val="24"/>
                <w:szCs w:val="24"/>
                <w:bdr w:val="none" w:color="auto" w:sz="0" w:space="0"/>
              </w:rPr>
              <w:t>序号</w:t>
            </w:r>
          </w:p>
        </w:tc>
        <w:tc>
          <w:tcPr>
            <w:tcW w:w="13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sz w:val="24"/>
                <w:szCs w:val="24"/>
                <w:bdr w:val="none" w:color="auto" w:sz="0" w:space="0"/>
              </w:rPr>
              <w:t>专业代码</w:t>
            </w:r>
          </w:p>
        </w:tc>
        <w:tc>
          <w:tcPr>
            <w:tcW w:w="112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sz w:val="24"/>
                <w:szCs w:val="24"/>
                <w:bdr w:val="none" w:color="auto" w:sz="0" w:space="0"/>
              </w:rPr>
              <w:t>专业名称</w:t>
            </w:r>
          </w:p>
        </w:tc>
        <w:tc>
          <w:tcPr>
            <w:tcW w:w="24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sz w:val="24"/>
                <w:szCs w:val="24"/>
                <w:bdr w:val="none" w:color="auto" w:sz="0" w:space="0"/>
              </w:rPr>
              <w:t>考生编号</w:t>
            </w:r>
          </w:p>
        </w:tc>
        <w:tc>
          <w:tcPr>
            <w:tcW w:w="12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sz w:val="24"/>
                <w:szCs w:val="24"/>
                <w:bdr w:val="none" w:color="auto" w:sz="0" w:space="0"/>
              </w:rPr>
              <w:t>考生姓名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6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sz w:val="24"/>
                <w:szCs w:val="24"/>
                <w:bdr w:val="none" w:color="auto" w:sz="0" w:space="0"/>
              </w:rPr>
              <w:t>1</w:t>
            </w:r>
          </w:p>
        </w:tc>
        <w:tc>
          <w:tcPr>
            <w:tcW w:w="13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sz w:val="24"/>
                <w:szCs w:val="24"/>
                <w:bdr w:val="none" w:color="auto" w:sz="0" w:space="0"/>
              </w:rPr>
              <w:t>100705</w:t>
            </w:r>
          </w:p>
        </w:tc>
        <w:tc>
          <w:tcPr>
            <w:tcW w:w="112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sz w:val="24"/>
                <w:szCs w:val="24"/>
                <w:bdr w:val="none" w:color="auto" w:sz="0" w:space="0"/>
              </w:rPr>
              <w:t>微生物与生化药学</w:t>
            </w:r>
          </w:p>
        </w:tc>
        <w:tc>
          <w:tcPr>
            <w:tcW w:w="24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sz w:val="24"/>
                <w:szCs w:val="24"/>
                <w:bdr w:val="none" w:color="auto" w:sz="0" w:space="0"/>
              </w:rPr>
              <w:t>104878000110916</w:t>
            </w:r>
          </w:p>
        </w:tc>
        <w:tc>
          <w:tcPr>
            <w:tcW w:w="12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2"/>
                <w:szCs w:val="22"/>
                <w:bdr w:val="none" w:color="auto" w:sz="0" w:space="0"/>
              </w:rPr>
              <w:t>王丽群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sz w:val="24"/>
                <w:szCs w:val="24"/>
                <w:bdr w:val="none" w:color="auto" w:sz="0" w:space="0"/>
              </w:rPr>
              <w:t>2</w:t>
            </w:r>
          </w:p>
        </w:tc>
        <w:tc>
          <w:tcPr>
            <w:tcW w:w="13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sz w:val="24"/>
                <w:szCs w:val="24"/>
                <w:bdr w:val="none" w:color="auto" w:sz="0" w:space="0"/>
              </w:rPr>
              <w:t>100705</w:t>
            </w:r>
          </w:p>
        </w:tc>
        <w:tc>
          <w:tcPr>
            <w:tcW w:w="112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sz w:val="24"/>
                <w:szCs w:val="24"/>
                <w:bdr w:val="none" w:color="auto" w:sz="0" w:space="0"/>
              </w:rPr>
              <w:t>微生物与生化药学</w:t>
            </w:r>
          </w:p>
        </w:tc>
        <w:tc>
          <w:tcPr>
            <w:tcW w:w="24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sz w:val="24"/>
                <w:szCs w:val="24"/>
                <w:bdr w:val="none" w:color="auto" w:sz="0" w:space="0"/>
              </w:rPr>
              <w:t>144308119000178</w:t>
            </w:r>
          </w:p>
        </w:tc>
        <w:tc>
          <w:tcPr>
            <w:tcW w:w="12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2"/>
                <w:szCs w:val="22"/>
                <w:bdr w:val="none" w:color="auto" w:sz="0" w:space="0"/>
              </w:rPr>
              <w:t>龙宇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sz w:val="24"/>
                <w:szCs w:val="24"/>
                <w:bdr w:val="none" w:color="auto" w:sz="0" w:space="0"/>
              </w:rPr>
              <w:t>3</w:t>
            </w:r>
          </w:p>
        </w:tc>
        <w:tc>
          <w:tcPr>
            <w:tcW w:w="13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sz w:val="24"/>
                <w:szCs w:val="24"/>
                <w:bdr w:val="none" w:color="auto" w:sz="0" w:space="0"/>
              </w:rPr>
              <w:t>100705</w:t>
            </w:r>
          </w:p>
        </w:tc>
        <w:tc>
          <w:tcPr>
            <w:tcW w:w="112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sz w:val="24"/>
                <w:szCs w:val="24"/>
                <w:bdr w:val="none" w:color="auto" w:sz="0" w:space="0"/>
              </w:rPr>
              <w:t>微生物与生化药学</w:t>
            </w:r>
          </w:p>
        </w:tc>
        <w:tc>
          <w:tcPr>
            <w:tcW w:w="24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sz w:val="24"/>
                <w:szCs w:val="24"/>
                <w:bdr w:val="none" w:color="auto" w:sz="0" w:space="0"/>
              </w:rPr>
              <w:t>105588360116164</w:t>
            </w:r>
          </w:p>
        </w:tc>
        <w:tc>
          <w:tcPr>
            <w:tcW w:w="12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2"/>
                <w:szCs w:val="22"/>
                <w:bdr w:val="none" w:color="auto" w:sz="0" w:space="0"/>
              </w:rPr>
              <w:t>戚婉荧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6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sz w:val="24"/>
                <w:szCs w:val="24"/>
                <w:bdr w:val="none" w:color="auto" w:sz="0" w:space="0"/>
              </w:rPr>
              <w:t>4</w:t>
            </w:r>
          </w:p>
        </w:tc>
        <w:tc>
          <w:tcPr>
            <w:tcW w:w="13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sz w:val="24"/>
                <w:szCs w:val="24"/>
                <w:bdr w:val="none" w:color="auto" w:sz="0" w:space="0"/>
              </w:rPr>
              <w:t>100705</w:t>
            </w:r>
          </w:p>
        </w:tc>
        <w:tc>
          <w:tcPr>
            <w:tcW w:w="112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sz w:val="24"/>
                <w:szCs w:val="24"/>
                <w:bdr w:val="none" w:color="auto" w:sz="0" w:space="0"/>
              </w:rPr>
              <w:t>微生物与生化药学</w:t>
            </w:r>
          </w:p>
        </w:tc>
        <w:tc>
          <w:tcPr>
            <w:tcW w:w="24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sz w:val="24"/>
                <w:szCs w:val="24"/>
                <w:bdr w:val="none" w:color="auto" w:sz="0" w:space="0"/>
              </w:rPr>
              <w:t>121218000004129</w:t>
            </w:r>
          </w:p>
        </w:tc>
        <w:tc>
          <w:tcPr>
            <w:tcW w:w="12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2"/>
                <w:szCs w:val="22"/>
                <w:bdr w:val="none" w:color="auto" w:sz="0" w:space="0"/>
              </w:rPr>
              <w:t>谢晓灵</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47B5C"/>
    <w:rsid w:val="03A47B5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2018-12-14T03:44:00Z</dcterms:created>
  <dc:creator>Lm</dc:creator>
  <cp:lastModifiedBy>Lm</cp:lastModifiedBy>
  <dcterms:modified xsi:type="dcterms:W3CDTF">2018-12-14T03:46:04Z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