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_GB2312" w:hAnsi="宋体" w:eastAsia="仿宋_GB2312"/>
          <w:b/>
          <w:color w:val="000000"/>
          <w:sz w:val="28"/>
          <w:szCs w:val="28"/>
        </w:rPr>
      </w:pPr>
      <w:r>
        <w:rPr>
          <w:rFonts w:hint="eastAsia" w:ascii="仿宋_GB2312" w:hAnsi="宋体" w:eastAsia="仿宋_GB2312"/>
          <w:b/>
          <w:color w:val="000000"/>
          <w:sz w:val="28"/>
          <w:szCs w:val="28"/>
        </w:rPr>
        <w:t>2018年</w:t>
      </w:r>
      <w:r>
        <w:rPr>
          <w:rFonts w:hint="eastAsia" w:ascii="仿宋_GB2312" w:hAnsi="宋体" w:eastAsia="仿宋_GB2312"/>
          <w:b/>
          <w:color w:val="000000"/>
          <w:sz w:val="28"/>
          <w:szCs w:val="28"/>
          <w:lang w:val="en-US" w:eastAsia="zh-CN"/>
        </w:rPr>
        <w:t>苏州大学</w:t>
      </w:r>
      <w:r>
        <w:rPr>
          <w:rFonts w:hint="eastAsia" w:ascii="仿宋_GB2312" w:hAnsi="宋体" w:eastAsia="仿宋_GB2312"/>
          <w:b/>
          <w:color w:val="000000"/>
          <w:sz w:val="28"/>
          <w:szCs w:val="28"/>
        </w:rPr>
        <w:t>音乐学院研究生招生复试调剂方案</w:t>
      </w:r>
    </w:p>
    <w:p>
      <w:pPr>
        <w:spacing w:line="36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音乐学院2018年研究生招生复试可接收专业学位(全日制)考生调剂。复试采用差额形式，差额比例在120%-150%范围内(推免生除外)。</w:t>
      </w:r>
    </w:p>
    <w:p>
      <w:pPr>
        <w:spacing w:line="36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由外校调入的考生须通过教育部指定的“全国硕士生招生调剂服务系统”进行，未通过调剂系统录取的考生一律无效。我院不接收同等学力考生调剂。</w:t>
      </w:r>
    </w:p>
    <w:p>
      <w:pPr>
        <w:adjustRightInd w:val="0"/>
        <w:snapToGrid w:val="0"/>
        <w:spacing w:line="360" w:lineRule="auto"/>
        <w:outlineLvl w:val="1"/>
        <w:rPr>
          <w:rFonts w:ascii="仿宋_GB2312" w:hAnsi="宋体" w:eastAsia="仿宋_GB2312"/>
          <w:b/>
          <w:color w:val="000000"/>
          <w:sz w:val="24"/>
        </w:rPr>
      </w:pPr>
      <w:r>
        <w:rPr>
          <w:rFonts w:hint="eastAsia" w:ascii="仿宋_GB2312" w:hAnsi="宋体" w:eastAsia="仿宋_GB2312"/>
          <w:b/>
          <w:color w:val="000000"/>
          <w:sz w:val="24"/>
        </w:rPr>
        <w:t xml:space="preserve">    调剂基本条件：</w:t>
      </w:r>
    </w:p>
    <w:p>
      <w:pPr>
        <w:adjustRightInd w:val="0"/>
        <w:snapToGrid w:val="0"/>
        <w:spacing w:line="360" w:lineRule="auto"/>
        <w:ind w:firstLine="480" w:firstLineChars="200"/>
        <w:outlineLvl w:val="1"/>
        <w:rPr>
          <w:rFonts w:ascii="仿宋_GB2312" w:hAnsi="宋体" w:eastAsia="仿宋_GB2312"/>
          <w:color w:val="000000"/>
          <w:sz w:val="24"/>
        </w:rPr>
      </w:pPr>
      <w:r>
        <w:rPr>
          <w:rFonts w:hint="eastAsia" w:ascii="仿宋_GB2312" w:hAnsi="宋体" w:eastAsia="仿宋_GB2312"/>
          <w:color w:val="000000"/>
          <w:sz w:val="24"/>
        </w:rPr>
        <w:t>（1）符合调入专业的报考条件。</w:t>
      </w:r>
    </w:p>
    <w:p>
      <w:pPr>
        <w:adjustRightInd w:val="0"/>
        <w:snapToGrid w:val="0"/>
        <w:spacing w:line="360" w:lineRule="auto"/>
        <w:ind w:firstLine="480" w:firstLineChars="200"/>
        <w:outlineLvl w:val="1"/>
        <w:rPr>
          <w:rFonts w:ascii="仿宋_GB2312" w:hAnsi="宋体" w:eastAsia="仿宋_GB2312"/>
          <w:color w:val="000000"/>
          <w:sz w:val="24"/>
        </w:rPr>
      </w:pPr>
      <w:r>
        <w:rPr>
          <w:rFonts w:hint="eastAsia" w:ascii="仿宋_GB2312" w:hAnsi="宋体" w:eastAsia="仿宋_GB2312"/>
          <w:color w:val="000000"/>
          <w:sz w:val="24"/>
        </w:rPr>
        <w:t>（2）初试成绩符合第一志愿报考专业在调入地区的全国初试成绩基本要求。</w:t>
      </w:r>
    </w:p>
    <w:p>
      <w:pPr>
        <w:adjustRightInd w:val="0"/>
        <w:snapToGrid w:val="0"/>
        <w:spacing w:line="360" w:lineRule="auto"/>
        <w:ind w:firstLine="480" w:firstLineChars="200"/>
        <w:outlineLvl w:val="1"/>
        <w:rPr>
          <w:rFonts w:ascii="仿宋_GB2312" w:hAnsi="宋体" w:eastAsia="仿宋_GB2312"/>
          <w:color w:val="000000"/>
          <w:sz w:val="24"/>
        </w:rPr>
      </w:pPr>
      <w:r>
        <w:rPr>
          <w:rFonts w:hint="eastAsia" w:ascii="仿宋_GB2312" w:hAnsi="宋体" w:eastAsia="仿宋_GB2312"/>
          <w:color w:val="000000"/>
          <w:sz w:val="24"/>
        </w:rPr>
        <w:t>（3）调入专业与第一志愿报考专业相同或相近，初试科目与调入专业初试科目相同或相近，其中统考科目原则上应相同。不能跨学科门类调剂。</w:t>
      </w:r>
    </w:p>
    <w:p>
      <w:pPr>
        <w:adjustRightInd w:val="0"/>
        <w:snapToGrid w:val="0"/>
        <w:spacing w:line="360" w:lineRule="auto"/>
        <w:ind w:firstLine="480" w:firstLineChars="200"/>
        <w:outlineLvl w:val="1"/>
        <w:rPr>
          <w:rFonts w:ascii="仿宋_GB2312" w:hAnsi="宋体" w:eastAsia="仿宋_GB2312"/>
          <w:color w:val="000000"/>
          <w:sz w:val="24"/>
        </w:rPr>
      </w:pPr>
      <w:r>
        <w:rPr>
          <w:rFonts w:hint="eastAsia" w:ascii="仿宋_GB2312" w:hAnsi="宋体" w:eastAsia="仿宋_GB2312"/>
          <w:color w:val="000000"/>
          <w:sz w:val="24"/>
        </w:rPr>
        <w:t>（5）优先接收第一志愿报考我院的考生调剂。</w:t>
      </w:r>
    </w:p>
    <w:p>
      <w:pPr>
        <w:adjustRightInd w:val="0"/>
        <w:snapToGrid w:val="0"/>
        <w:spacing w:line="360" w:lineRule="auto"/>
        <w:ind w:firstLine="480" w:firstLineChars="200"/>
        <w:outlineLvl w:val="1"/>
        <w:rPr>
          <w:rFonts w:ascii="仿宋_GB2312" w:hAnsi="宋体" w:eastAsia="仿宋_GB2312"/>
          <w:color w:val="000000"/>
          <w:sz w:val="24"/>
        </w:rPr>
      </w:pPr>
      <w:r>
        <w:rPr>
          <w:rFonts w:hint="eastAsia" w:ascii="仿宋_GB2312" w:hAnsi="宋体" w:eastAsia="仿宋_GB2312"/>
          <w:color w:val="000000"/>
          <w:sz w:val="24"/>
        </w:rPr>
        <w:t>（6）参加单独考试的考生不得调剂。</w:t>
      </w:r>
    </w:p>
    <w:p>
      <w:pPr>
        <w:adjustRightInd w:val="0"/>
        <w:snapToGrid w:val="0"/>
        <w:spacing w:line="360" w:lineRule="auto"/>
        <w:ind w:firstLine="482" w:firstLineChars="200"/>
        <w:outlineLvl w:val="1"/>
        <w:rPr>
          <w:rFonts w:ascii="仿宋_GB2312" w:hAnsi="宋体" w:eastAsia="仿宋_GB2312"/>
          <w:b/>
          <w:color w:val="000000"/>
          <w:sz w:val="24"/>
        </w:rPr>
      </w:pPr>
      <w:r>
        <w:rPr>
          <w:rFonts w:hint="eastAsia" w:ascii="仿宋_GB2312" w:hAnsi="宋体" w:eastAsia="仿宋_GB2312"/>
          <w:b/>
          <w:color w:val="000000"/>
          <w:sz w:val="24"/>
        </w:rPr>
        <w:t>调剂的其他问题：</w:t>
      </w:r>
      <w:r>
        <w:rPr>
          <w:rFonts w:ascii="仿宋_GB2312" w:hAnsi="宋体" w:eastAsia="仿宋_GB2312"/>
          <w:b/>
          <w:color w:val="000000"/>
          <w:sz w:val="24"/>
        </w:rPr>
        <w:t xml:space="preserve"> </w:t>
      </w:r>
      <w:bookmarkStart w:id="0" w:name="_GoBack"/>
      <w:bookmarkEnd w:id="0"/>
    </w:p>
    <w:p>
      <w:pPr>
        <w:adjustRightInd w:val="0"/>
        <w:snapToGrid w:val="0"/>
        <w:spacing w:line="360" w:lineRule="auto"/>
        <w:ind w:firstLine="480" w:firstLineChars="200"/>
        <w:outlineLvl w:val="1"/>
        <w:rPr>
          <w:rFonts w:ascii="仿宋_GB2312" w:hAnsi="宋体" w:eastAsia="仿宋_GB2312"/>
          <w:color w:val="000000"/>
          <w:sz w:val="24"/>
        </w:rPr>
      </w:pPr>
      <w:r>
        <w:rPr>
          <w:rFonts w:hint="eastAsia" w:ascii="仿宋_GB2312" w:hAnsi="宋体" w:eastAsia="仿宋_GB2312"/>
          <w:color w:val="000000"/>
          <w:sz w:val="24"/>
        </w:rPr>
        <w:t>（1）拟调剂到本院的考生，在调剂前须仔细了解学院的各研究方向导师情况、有无所学主项的相关导师，以免造成误报。</w:t>
      </w:r>
      <w:r>
        <w:rPr>
          <w:rFonts w:ascii="仿宋_GB2312" w:hAnsi="宋体" w:eastAsia="仿宋_GB2312"/>
          <w:color w:val="000000"/>
          <w:sz w:val="24"/>
        </w:rPr>
        <w:t xml:space="preserve"> </w:t>
      </w:r>
    </w:p>
    <w:p>
      <w:pPr>
        <w:adjustRightInd w:val="0"/>
        <w:snapToGrid w:val="0"/>
        <w:spacing w:line="360" w:lineRule="auto"/>
        <w:ind w:firstLine="480" w:firstLineChars="200"/>
        <w:outlineLvl w:val="1"/>
        <w:rPr>
          <w:rFonts w:ascii="仿宋_GB2312" w:hAnsi="宋体" w:eastAsia="仿宋_GB2312"/>
          <w:color w:val="000000"/>
          <w:sz w:val="24"/>
        </w:rPr>
      </w:pPr>
      <w:r>
        <w:rPr>
          <w:rFonts w:hint="eastAsia" w:ascii="仿宋_GB2312" w:hAnsi="宋体" w:eastAsia="仿宋_GB2312"/>
          <w:color w:val="000000"/>
          <w:sz w:val="24"/>
        </w:rPr>
        <w:t>（2）学院确定接收调剂考生名单后，将通过调剂服务系统发送复试通知并电话确认。对已发送复试通知的调剂考生，如24小时之内没有在调剂系统回复同意参加复试，则视为自动放弃复试资格。</w:t>
      </w:r>
    </w:p>
    <w:p>
      <w:pPr>
        <w:adjustRightInd w:val="0"/>
        <w:snapToGrid w:val="0"/>
        <w:spacing w:line="360" w:lineRule="auto"/>
        <w:outlineLvl w:val="1"/>
        <w:rPr>
          <w:rFonts w:ascii="仿宋_GB2312" w:hAnsi="宋体" w:eastAsia="仿宋_GB2312"/>
          <w:color w:val="000000"/>
          <w:sz w:val="24"/>
        </w:rPr>
      </w:pPr>
      <w:r>
        <w:rPr>
          <w:rFonts w:hint="eastAsia" w:ascii="仿宋_GB2312" w:hAnsi="宋体" w:eastAsia="仿宋_GB2312"/>
          <w:color w:val="000000"/>
          <w:sz w:val="24"/>
        </w:rPr>
        <w:t xml:space="preserve">    </w:t>
      </w:r>
    </w:p>
    <w:p>
      <w:pPr>
        <w:adjustRightInd w:val="0"/>
        <w:snapToGrid w:val="0"/>
        <w:spacing w:line="360" w:lineRule="auto"/>
        <w:ind w:firstLine="560"/>
        <w:outlineLvl w:val="1"/>
        <w:rPr>
          <w:rFonts w:ascii="仿宋_GB2312" w:hAnsi="宋体" w:eastAsia="仿宋_GB2312"/>
          <w:color w:val="00000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5B1"/>
    <w:rsid w:val="00080F60"/>
    <w:rsid w:val="000C0D65"/>
    <w:rsid w:val="000E29D4"/>
    <w:rsid w:val="001463AD"/>
    <w:rsid w:val="00150A2B"/>
    <w:rsid w:val="00193F7C"/>
    <w:rsid w:val="001E1310"/>
    <w:rsid w:val="001F5D30"/>
    <w:rsid w:val="00224B3B"/>
    <w:rsid w:val="002272F6"/>
    <w:rsid w:val="00276463"/>
    <w:rsid w:val="002A2590"/>
    <w:rsid w:val="002C5BDB"/>
    <w:rsid w:val="00310D01"/>
    <w:rsid w:val="003140CC"/>
    <w:rsid w:val="0032665C"/>
    <w:rsid w:val="003331C0"/>
    <w:rsid w:val="003D10FE"/>
    <w:rsid w:val="00455C2A"/>
    <w:rsid w:val="004832AF"/>
    <w:rsid w:val="004A2EFE"/>
    <w:rsid w:val="004D41C9"/>
    <w:rsid w:val="00512E5A"/>
    <w:rsid w:val="00521F56"/>
    <w:rsid w:val="0053267E"/>
    <w:rsid w:val="00545996"/>
    <w:rsid w:val="00564E35"/>
    <w:rsid w:val="005755A0"/>
    <w:rsid w:val="00580820"/>
    <w:rsid w:val="005A4C2D"/>
    <w:rsid w:val="005A4FD3"/>
    <w:rsid w:val="005E647D"/>
    <w:rsid w:val="0067559E"/>
    <w:rsid w:val="00675C3E"/>
    <w:rsid w:val="00681B6F"/>
    <w:rsid w:val="006960CC"/>
    <w:rsid w:val="006A173D"/>
    <w:rsid w:val="006A1EFD"/>
    <w:rsid w:val="006A36E1"/>
    <w:rsid w:val="006B10D3"/>
    <w:rsid w:val="006D0015"/>
    <w:rsid w:val="00703BFC"/>
    <w:rsid w:val="007077A2"/>
    <w:rsid w:val="00784FBA"/>
    <w:rsid w:val="00845615"/>
    <w:rsid w:val="008623BD"/>
    <w:rsid w:val="008B4B45"/>
    <w:rsid w:val="008D0606"/>
    <w:rsid w:val="00A010B5"/>
    <w:rsid w:val="00A52C84"/>
    <w:rsid w:val="00A71EB8"/>
    <w:rsid w:val="00AE2F9D"/>
    <w:rsid w:val="00B06EC7"/>
    <w:rsid w:val="00B15C50"/>
    <w:rsid w:val="00B844AE"/>
    <w:rsid w:val="00B9286A"/>
    <w:rsid w:val="00BD1444"/>
    <w:rsid w:val="00C64EC3"/>
    <w:rsid w:val="00CE15B1"/>
    <w:rsid w:val="00D26FD7"/>
    <w:rsid w:val="00DA169E"/>
    <w:rsid w:val="00DD08CC"/>
    <w:rsid w:val="00DE59F3"/>
    <w:rsid w:val="00EB3C39"/>
    <w:rsid w:val="00EF18F3"/>
    <w:rsid w:val="00F227CE"/>
    <w:rsid w:val="00F64CC3"/>
    <w:rsid w:val="00FB2BF1"/>
    <w:rsid w:val="00FB587B"/>
    <w:rsid w:val="00FE2C4C"/>
    <w:rsid w:val="00FF65BA"/>
    <w:rsid w:val="1C7C511F"/>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苏州美宜电子科技有限公司</Company>
  <Pages>1</Pages>
  <Words>72</Words>
  <Characters>413</Characters>
  <Lines>3</Lines>
  <Paragraphs>1</Paragraphs>
  <TotalTime>0</TotalTime>
  <ScaleCrop>false</ScaleCrop>
  <LinksUpToDate>false</LinksUpToDate>
  <CharactersWithSpaces>484</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2018-03-20T07:12:00Z</dcterms:created>
  <dc:creator>think</dc:creator>
  <cp:lastModifiedBy>Zlh</cp:lastModifiedBy>
  <dcterms:modified xsi:type="dcterms:W3CDTF">2018-09-28T09:03:56Z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