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bookmarkStart w:id="11" w:name="_GoBack"/>
      <w:r>
        <w:rPr>
          <w:rFonts w:hint="eastAsia" w:ascii="宋体" w:hAnsi="宋体" w:eastAsia="宋体" w:cs="宋体"/>
          <w:b/>
          <w:bCs/>
          <w:sz w:val="24"/>
          <w:szCs w:val="24"/>
          <w:lang w:val="en-US" w:eastAsia="zh-CN"/>
        </w:rPr>
        <w:t>2019年中国科学技术大学</w:t>
      </w:r>
      <w:r>
        <w:rPr>
          <w:rFonts w:hint="eastAsia"/>
          <w:b/>
          <w:bCs/>
          <w:sz w:val="24"/>
          <w:szCs w:val="24"/>
        </w:rPr>
        <w:t>材料科学与工程学院（金属研究所）</w:t>
      </w:r>
      <w:r>
        <w:rPr>
          <w:rFonts w:hint="eastAsia" w:ascii="宋体" w:hAnsi="宋体" w:eastAsia="宋体" w:cs="宋体"/>
          <w:b/>
          <w:bCs/>
          <w:sz w:val="24"/>
          <w:szCs w:val="24"/>
          <w:lang w:val="en-US" w:eastAsia="zh-CN"/>
        </w:rPr>
        <w:t>硕士研究生招生简章与目录</w:t>
      </w:r>
    </w:p>
    <w:bookmarkEnd w:id="11"/>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Ⅰ金属所简介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b w:val="0"/>
          <w:i w:val="0"/>
          <w:caps w:val="0"/>
          <w:color w:val="575757"/>
          <w:spacing w:val="0"/>
          <w:kern w:val="0"/>
          <w:sz w:val="18"/>
          <w:szCs w:val="18"/>
          <w:shd w:val="clear" w:fill="FFFFFF"/>
          <w:lang w:val="en-US" w:eastAsia="zh-CN" w:bidi="ar"/>
        </w:rPr>
      </w:pPr>
      <w:r>
        <w:rPr>
          <w:rFonts w:hint="eastAsia" w:ascii="宋体" w:hAnsi="宋体" w:eastAsia="宋体" w:cs="宋体"/>
          <w:b w:val="0"/>
          <w:i w:val="0"/>
          <w:caps w:val="0"/>
          <w:color w:val="575757"/>
          <w:spacing w:val="0"/>
          <w:kern w:val="0"/>
          <w:sz w:val="18"/>
          <w:szCs w:val="18"/>
          <w:shd w:val="clear" w:fill="FFFFFF"/>
          <w:lang w:val="en-US" w:eastAsia="zh-CN" w:bidi="ar"/>
        </w:rPr>
        <w:t>中国科学院金属研究所(以下简称金属所)成立于1953年，是新中国成立后中国科学院新创建的首批研究所之一，创建者是我国著名的物理冶金学家李薰先生。现任所长左良教授。经老一辈科学家和几代人的不懈努力，金属所已经发展成为我国享誉海内外的材料科学与工程领域重要的研究基地，也是培养材料科学与工程高级人才的重要基地。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b w:val="0"/>
          <w:i w:val="0"/>
          <w:caps w:val="0"/>
          <w:color w:val="575757"/>
          <w:spacing w:val="0"/>
          <w:kern w:val="0"/>
          <w:sz w:val="18"/>
          <w:szCs w:val="18"/>
          <w:shd w:val="clear" w:fill="FFFFFF"/>
          <w:lang w:val="en-US" w:eastAsia="zh-CN" w:bidi="ar"/>
        </w:rPr>
      </w:pPr>
      <w:r>
        <w:rPr>
          <w:rFonts w:hint="eastAsia" w:ascii="宋体" w:hAnsi="宋体" w:eastAsia="宋体" w:cs="宋体"/>
          <w:b w:val="0"/>
          <w:i w:val="0"/>
          <w:caps w:val="0"/>
          <w:color w:val="575757"/>
          <w:spacing w:val="0"/>
          <w:kern w:val="0"/>
          <w:sz w:val="18"/>
          <w:szCs w:val="18"/>
          <w:shd w:val="clear" w:fill="FFFFFF"/>
          <w:lang w:val="en-US" w:eastAsia="zh-CN" w:bidi="ar"/>
        </w:rPr>
        <w:t>自2015年开始金属所研究生教育归口到中国科学技术大学,成立中国科学技术大学材料科学与工程学院,按中国科学技术大学招生、培养和授予学位。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b w:val="0"/>
          <w:i w:val="0"/>
          <w:caps w:val="0"/>
          <w:color w:val="575757"/>
          <w:spacing w:val="0"/>
          <w:kern w:val="0"/>
          <w:sz w:val="18"/>
          <w:szCs w:val="18"/>
          <w:shd w:val="clear" w:fill="FFFFFF"/>
          <w:lang w:val="en-US" w:eastAsia="zh-CN" w:bidi="ar"/>
        </w:rPr>
      </w:pPr>
      <w:r>
        <w:rPr>
          <w:rFonts w:hint="eastAsia" w:ascii="宋体" w:hAnsi="宋体" w:eastAsia="宋体" w:cs="宋体"/>
          <w:b w:val="0"/>
          <w:i w:val="0"/>
          <w:caps w:val="0"/>
          <w:color w:val="575757"/>
          <w:spacing w:val="0"/>
          <w:kern w:val="0"/>
          <w:sz w:val="18"/>
          <w:szCs w:val="18"/>
          <w:shd w:val="clear" w:fill="FFFFFF"/>
          <w:lang w:val="en-US" w:eastAsia="zh-CN" w:bidi="ar"/>
        </w:rPr>
        <w:t>金属所以“创新材料技术、攀登科技高峰、培育杰出人才、服务经济国防”为使命。以高性能金属材料、新型无机非金属材料和先进复合材料等为主要研究对象，研究这些材料的结构、性能、使役行为及其防护技术，并注重材料制备、加工及工程化研究。金属所已初步形成基础、应用、开发的新格局：基础及应用基础研究以沈阳材料科学国家研究中心、金属腐蚀与防护实验室为核心，瞄准国际前沿，解决重大的学科问题。应用研究以沈阳先进材料研究发展中心、材料环境腐蚀研究中心为核心，为国家重大战略需求解决关键性的技术问题。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b w:val="0"/>
          <w:i w:val="0"/>
          <w:caps w:val="0"/>
          <w:color w:val="575757"/>
          <w:spacing w:val="0"/>
          <w:kern w:val="0"/>
          <w:sz w:val="18"/>
          <w:szCs w:val="18"/>
          <w:shd w:val="clear" w:fill="FFFFFF"/>
          <w:lang w:val="en-US" w:eastAsia="zh-CN" w:bidi="ar"/>
        </w:rPr>
      </w:pPr>
      <w:r>
        <w:rPr>
          <w:rFonts w:hint="eastAsia" w:ascii="宋体" w:hAnsi="宋体" w:eastAsia="宋体" w:cs="宋体"/>
          <w:b w:val="0"/>
          <w:i w:val="0"/>
          <w:caps w:val="0"/>
          <w:color w:val="575757"/>
          <w:spacing w:val="0"/>
          <w:kern w:val="0"/>
          <w:sz w:val="18"/>
          <w:szCs w:val="18"/>
          <w:shd w:val="clear" w:fill="FFFFFF"/>
          <w:lang w:val="en-US" w:eastAsia="zh-CN" w:bidi="ar"/>
        </w:rPr>
        <w:t>金属所研究生教育坚持“质量第一，精品教育”的教育理念，培养质量位居同学科前列。1997年获准按材料科学与工程一级学科授予博士及硕士学位。在2003年、2006年全国一级学科质量评估中，金属所材料科学与工程一级学科综合排名均列全国第二，在2017年材料科学与工程一级学科入选“双一流”建设学科名单。设立于1989年的中国科学院院长奖学金特别奖，是授予中国科学院在学研究生的最高荣誉，至今金属所有30人获此殊荣，居全院研究所前列。在全国优秀博士论文评选中，金属所共有11篇论文获奖。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b w:val="0"/>
          <w:i w:val="0"/>
          <w:caps w:val="0"/>
          <w:color w:val="575757"/>
          <w:spacing w:val="0"/>
          <w:kern w:val="0"/>
          <w:sz w:val="18"/>
          <w:szCs w:val="18"/>
          <w:shd w:val="clear" w:fill="FFFFFF"/>
          <w:lang w:val="en-US" w:eastAsia="zh-CN" w:bidi="ar"/>
        </w:rPr>
      </w:pPr>
      <w:r>
        <w:rPr>
          <w:rFonts w:hint="eastAsia" w:ascii="宋体" w:hAnsi="宋体" w:eastAsia="宋体" w:cs="宋体"/>
          <w:b w:val="0"/>
          <w:i w:val="0"/>
          <w:caps w:val="0"/>
          <w:color w:val="575757"/>
          <w:spacing w:val="0"/>
          <w:kern w:val="0"/>
          <w:sz w:val="18"/>
          <w:szCs w:val="18"/>
          <w:shd w:val="clear" w:fill="FFFFFF"/>
          <w:lang w:val="en-US" w:eastAsia="zh-CN" w:bidi="ar"/>
        </w:rPr>
        <w:t>金属所有高水平的导师队伍，现有硕士生导师200余名，博士生导师92名，两院院士6名，国家杰出青年基金获得者15名，优秀青年基金获得者6名，入选国家“千人计划”支持者7名，“万人计划”支持者15名，入选中科院“百人计划”支持者36名；有充足的科研经费和配套齐全的科研仪器设备；与国内外科研机构、大学、学术团体和企业建立了广泛的合作交流关系；具有浓郁的学术氛围和宽松的学术环境，是从事材料科学研究和深造的理想选择。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b w:val="0"/>
          <w:i w:val="0"/>
          <w:caps w:val="0"/>
          <w:color w:val="575757"/>
          <w:spacing w:val="0"/>
          <w:kern w:val="0"/>
          <w:sz w:val="18"/>
          <w:szCs w:val="18"/>
          <w:shd w:val="clear" w:fill="FFFFFF"/>
          <w:lang w:val="en-US" w:eastAsia="zh-CN" w:bidi="ar"/>
        </w:rPr>
      </w:pPr>
      <w:r>
        <w:rPr>
          <w:rFonts w:hint="eastAsia" w:ascii="宋体" w:hAnsi="宋体" w:eastAsia="宋体" w:cs="宋体"/>
          <w:b w:val="0"/>
          <w:i w:val="0"/>
          <w:caps w:val="0"/>
          <w:color w:val="575757"/>
          <w:spacing w:val="0"/>
          <w:kern w:val="0"/>
          <w:sz w:val="18"/>
          <w:szCs w:val="18"/>
          <w:shd w:val="clear" w:fill="FFFFFF"/>
          <w:lang w:val="en-US" w:eastAsia="zh-CN" w:bidi="ar"/>
        </w:rPr>
        <w:t>金属所还为在学研究生建有配套良好的学习、体育、文娱、生活设施和标准间公寓，设立了各类研究生奖学金，其中奖助学金总额硕士生最高4.5万元/年，博士生最高7.6万元/年。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pPr>
      <w:r>
        <w:rPr>
          <w:rFonts w:hint="eastAsia" w:ascii="宋体" w:hAnsi="宋体" w:eastAsia="宋体" w:cs="宋体"/>
          <w:b w:val="0"/>
          <w:i w:val="0"/>
          <w:caps w:val="0"/>
          <w:color w:val="575757"/>
          <w:spacing w:val="0"/>
          <w:kern w:val="0"/>
          <w:sz w:val="18"/>
          <w:szCs w:val="18"/>
          <w:shd w:val="clear" w:fill="FFFFFF"/>
          <w:lang w:val="en-US" w:eastAsia="zh-CN" w:bidi="ar"/>
        </w:rPr>
        <w:t>有关招生简章、政策、要求等信息将在金属所研究生部和中国科大网站上公布。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地址：沈阳市沈河区文化路72号 中国科学院金属研究所研究生教育处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邮编：110016</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联系人：李老师，侯老师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电话：024－23998273 83970080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传真：024－23842016</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网址：www.gs.imr.ac.cn，www.imr.cas.cn，yz.ustc.edu.cn</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E-mail: imryzb@imr.ac.cn</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QQ群: 127984993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微信公共平台(IMRYZB)</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fldChar w:fldCharType="begin"/>
      </w:r>
      <w:r>
        <w:rPr>
          <w:rFonts w:hint="eastAsia" w:ascii="宋体" w:hAnsi="宋体" w:eastAsia="宋体" w:cs="宋体"/>
          <w:i w:val="0"/>
          <w:caps w:val="0"/>
          <w:color w:val="575757"/>
          <w:spacing w:val="0"/>
          <w:sz w:val="18"/>
          <w:szCs w:val="18"/>
          <w:shd w:val="clear" w:fill="FFFFFF"/>
        </w:rPr>
        <w:instrText xml:space="preserve">INCLUDEPICTURE \d "https://yz.ustc.edu.cn/sszs_2019/images/10.jpg" \* MERGEFORMATINET </w:instrText>
      </w:r>
      <w:r>
        <w:rPr>
          <w:rFonts w:hint="eastAsia" w:ascii="宋体" w:hAnsi="宋体" w:eastAsia="宋体" w:cs="宋体"/>
          <w:i w:val="0"/>
          <w:caps w:val="0"/>
          <w:color w:val="575757"/>
          <w:spacing w:val="0"/>
          <w:sz w:val="18"/>
          <w:szCs w:val="18"/>
          <w:shd w:val="clear" w:fill="FFFFFF"/>
        </w:rPr>
        <w:fldChar w:fldCharType="separate"/>
      </w:r>
      <w:r>
        <w:rPr>
          <w:rFonts w:hint="eastAsia" w:ascii="宋体" w:hAnsi="宋体" w:eastAsia="宋体" w:cs="宋体"/>
          <w:i w:val="0"/>
          <w:caps w:val="0"/>
          <w:color w:val="575757"/>
          <w:spacing w:val="0"/>
          <w:sz w:val="18"/>
          <w:szCs w:val="18"/>
          <w:shd w:val="clear" w:fill="FFFFFF"/>
        </w:rPr>
        <w:drawing>
          <wp:inline distT="0" distB="0" distL="114300" distR="114300">
            <wp:extent cx="1438275" cy="14763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r:link="rId5"/>
                    <a:stretch>
                      <a:fillRect/>
                    </a:stretch>
                  </pic:blipFill>
                  <pic:spPr>
                    <a:xfrm>
                      <a:off x="0" y="0"/>
                      <a:ext cx="1438275" cy="1476375"/>
                    </a:xfrm>
                    <a:prstGeom prst="rect">
                      <a:avLst/>
                    </a:prstGeom>
                    <a:noFill/>
                    <a:ln w="9525">
                      <a:noFill/>
                    </a:ln>
                  </pic:spPr>
                </pic:pic>
              </a:graphicData>
            </a:graphic>
          </wp:inline>
        </w:drawing>
      </w:r>
      <w:r>
        <w:rPr>
          <w:rFonts w:hint="eastAsia" w:ascii="宋体" w:hAnsi="宋体" w:eastAsia="宋体" w:cs="宋体"/>
          <w:i w:val="0"/>
          <w:caps w:val="0"/>
          <w:color w:val="575757"/>
          <w:spacing w:val="0"/>
          <w:sz w:val="18"/>
          <w:szCs w:val="18"/>
          <w:shd w:val="clear" w:fill="FFFFFF"/>
        </w:rPr>
        <w:fldChar w:fldCharType="end"/>
      </w:r>
      <w:r>
        <w:rPr>
          <w:rFonts w:hint="eastAsia" w:ascii="宋体" w:hAnsi="宋体" w:eastAsia="宋体" w:cs="宋体"/>
          <w:i w:val="0"/>
          <w:caps w:val="0"/>
          <w:color w:val="575757"/>
          <w:spacing w:val="0"/>
          <w:sz w:val="18"/>
          <w:szCs w:val="18"/>
          <w:shd w:val="clear" w:fill="FFFFFF"/>
        </w:rPr>
        <w:t>微信公共平台(IMRYZB)</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br w:type="textWrapping"/>
      </w:r>
      <w:r>
        <w:rPr>
          <w:rFonts w:hint="eastAsia" w:ascii="宋体" w:hAnsi="宋体" w:eastAsia="宋体" w:cs="宋体"/>
          <w:i w:val="0"/>
          <w:caps w:val="0"/>
          <w:color w:val="575757"/>
          <w:spacing w:val="0"/>
          <w:shd w:val="clear" w:fill="FFFFFF"/>
        </w:rPr>
        <w:t>Ⅱ招生专业、方向及导师</w:t>
      </w:r>
    </w:p>
    <w:tbl>
      <w:tblPr>
        <w:tblW w:w="10948" w:type="dxa"/>
        <w:tblCellSpacing w:w="7" w:type="dxa"/>
        <w:tblInd w:w="0" w:type="dxa"/>
        <w:shd w:val="clear" w:color="auto" w:fill="CCCCCC"/>
        <w:tblLayout w:type="fixed"/>
        <w:tblCellMar>
          <w:top w:w="0" w:type="dxa"/>
          <w:left w:w="0" w:type="dxa"/>
          <w:bottom w:w="0" w:type="dxa"/>
          <w:right w:w="0" w:type="dxa"/>
        </w:tblCellMar>
      </w:tblPr>
      <w:tblGrid>
        <w:gridCol w:w="901"/>
        <w:gridCol w:w="7496"/>
        <w:gridCol w:w="2551"/>
      </w:tblGrid>
      <w:tr>
        <w:tblPrEx>
          <w:tblLayout w:type="fixed"/>
          <w:tblCellMar>
            <w:top w:w="0" w:type="dxa"/>
            <w:left w:w="0" w:type="dxa"/>
            <w:bottom w:w="0" w:type="dxa"/>
            <w:right w:w="0" w:type="dxa"/>
          </w:tblCellMar>
        </w:tblPrEx>
        <w:trPr>
          <w:tblCellSpacing w:w="7" w:type="dxa"/>
        </w:trPr>
        <w:tc>
          <w:tcPr>
            <w:tcW w:w="880"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序号</w:t>
            </w:r>
          </w:p>
        </w:tc>
        <w:tc>
          <w:tcPr>
            <w:tcW w:w="7484"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学科专业、研究方向</w:t>
            </w:r>
          </w:p>
        </w:tc>
        <w:tc>
          <w:tcPr>
            <w:tcW w:w="2530"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tblLayout w:type="fixed"/>
          <w:tblCellMar>
            <w:top w:w="0" w:type="dxa"/>
            <w:left w:w="0" w:type="dxa"/>
            <w:bottom w:w="0" w:type="dxa"/>
            <w:right w:w="0" w:type="dxa"/>
          </w:tblCellMar>
        </w:tblPrEx>
        <w:trPr>
          <w:tblCellSpacing w:w="7" w:type="dxa"/>
        </w:trPr>
        <w:tc>
          <w:tcPr>
            <w:tcW w:w="880" w:type="dxa"/>
            <w:shd w:val="clear" w:color="auto" w:fill="CC3333"/>
            <w:tcMar>
              <w:top w:w="75" w:type="dxa"/>
              <w:left w:w="150" w:type="dxa"/>
              <w:bottom w:w="75" w:type="dxa"/>
              <w:right w:w="150" w:type="dxa"/>
            </w:tcMar>
            <w:vAlign w:val="center"/>
          </w:tcPr>
          <w:p>
            <w:pPr>
              <w:keepNext w:val="0"/>
              <w:keepLines w:val="0"/>
              <w:widowControl/>
              <w:suppressLineNumbers w:val="0"/>
              <w:shd w:val="clear" w:fill="CC3333"/>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c>
          <w:tcPr>
            <w:tcW w:w="7484" w:type="dxa"/>
            <w:shd w:val="clear" w:color="auto" w:fill="CC3333"/>
            <w:tcMar>
              <w:top w:w="75" w:type="dxa"/>
              <w:left w:w="150" w:type="dxa"/>
              <w:bottom w:w="75" w:type="dxa"/>
              <w:right w:w="150" w:type="dxa"/>
            </w:tcMar>
            <w:vAlign w:val="center"/>
          </w:tcPr>
          <w:p>
            <w:pPr>
              <w:keepNext w:val="0"/>
              <w:keepLines w:val="0"/>
              <w:widowControl/>
              <w:suppressLineNumbers w:val="0"/>
              <w:shd w:val="clear" w:fill="CC3333"/>
              <w:spacing w:line="330" w:lineRule="atLeast"/>
              <w:ind w:left="0" w:firstLine="0"/>
              <w:jc w:val="left"/>
              <w:rPr>
                <w:rFonts w:hint="eastAsia" w:ascii="宋体" w:hAnsi="宋体" w:eastAsia="宋体" w:cs="宋体"/>
                <w:b w:val="0"/>
                <w:i w:val="0"/>
                <w:caps w:val="0"/>
                <w:color w:val="003399"/>
                <w:spacing w:val="0"/>
                <w:sz w:val="18"/>
                <w:szCs w:val="18"/>
                <w:u w:val="none"/>
              </w:rPr>
            </w:pPr>
            <w:r>
              <w:rPr>
                <w:rStyle w:val="6"/>
                <w:rFonts w:hint="eastAsia" w:ascii="宋体" w:hAnsi="宋体" w:eastAsia="宋体" w:cs="宋体"/>
                <w:b/>
                <w:i w:val="0"/>
                <w:caps w:val="0"/>
                <w:color w:val="FFFFFF"/>
                <w:spacing w:val="0"/>
                <w:kern w:val="0"/>
                <w:sz w:val="18"/>
                <w:szCs w:val="18"/>
                <w:u w:val="none"/>
                <w:bdr w:val="none" w:color="auto" w:sz="0" w:space="0"/>
                <w:lang w:val="en-US" w:eastAsia="zh-CN" w:bidi="ar"/>
              </w:rPr>
              <w:t>080501　材料物理与化学</w:t>
            </w:r>
          </w:p>
        </w:tc>
        <w:tc>
          <w:tcPr>
            <w:tcW w:w="2530" w:type="dxa"/>
            <w:shd w:val="clear" w:color="auto" w:fill="CC3333"/>
            <w:tcMar>
              <w:top w:w="75" w:type="dxa"/>
              <w:left w:w="150" w:type="dxa"/>
              <w:bottom w:w="75" w:type="dxa"/>
              <w:right w:w="150" w:type="dxa"/>
            </w:tcMar>
            <w:vAlign w:val="center"/>
          </w:tcPr>
          <w:p>
            <w:pPr>
              <w:keepNext w:val="0"/>
              <w:keepLines w:val="0"/>
              <w:widowControl/>
              <w:suppressLineNumbers w:val="0"/>
              <w:shd w:val="clear" w:fill="CC3333"/>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材料疲劳与断裂研究部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材料疲劳与断裂</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张哲峰　张　鹏</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生物力学与仿生材料设计</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刘增乾　张哲峰</w:t>
            </w:r>
          </w:p>
        </w:tc>
      </w:tr>
      <w:tr>
        <w:tblPrEx>
          <w:shd w:val="clear" w:color="auto" w:fill="CCCCCC"/>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梯度纳米结构金属材料制备与塑性变形*</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卢　磊</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纳米结构金属材料疲劳行为与机制*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卢　磊</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新型微纳器件材料使役行为与失效机理*</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张广平</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材料变形断裂机制计算模拟</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杨金波　张振军</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磁性材料与磁学研究部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低维材料中量子相变和器件研究*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韩　拯　张志东</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薄膜中的交换耦合、磁电耦合及其输运性质*</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　伟　张志东</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bookmarkStart w:id="0" w:name="_Hlk173654881"/>
            <w:r>
              <w:rPr>
                <w:rFonts w:hint="eastAsia" w:ascii="宋体" w:hAnsi="宋体" w:eastAsia="宋体" w:cs="宋体"/>
                <w:b w:val="0"/>
                <w:i w:val="0"/>
                <w:caps w:val="0"/>
                <w:color w:val="003399"/>
                <w:spacing w:val="0"/>
                <w:kern w:val="0"/>
                <w:sz w:val="18"/>
                <w:szCs w:val="18"/>
                <w:u w:val="none"/>
                <w:bdr w:val="none" w:color="auto" w:sz="0" w:space="0"/>
                <w:lang w:val="en-US" w:eastAsia="zh-CN" w:bidi="ar"/>
              </w:rPr>
              <w:t>磁性纳米材料的电磁性能</w:t>
            </w:r>
            <w:bookmarkEnd w:id="0"/>
            <w:r>
              <w:rPr>
                <w:rFonts w:hint="eastAsia" w:ascii="宋体" w:hAnsi="宋体" w:eastAsia="宋体" w:cs="宋体"/>
                <w:b w:val="0"/>
                <w:i w:val="0"/>
                <w:caps w:val="0"/>
                <w:color w:val="003399"/>
                <w:spacing w:val="0"/>
                <w:kern w:val="0"/>
                <w:sz w:val="18"/>
                <w:szCs w:val="18"/>
                <w:u w:val="none"/>
                <w:bdr w:val="none" w:color="auto" w:sz="0" w:space="0"/>
                <w:lang w:val="en-US" w:eastAsia="zh-CN" w:bidi="ar"/>
              </w:rPr>
              <w:t>*</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　达　张志东</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拓扑绝缘体纳米结构的制备和输运性质*</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王振华　张志东</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磁性相变的中子散射研究*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张志东　李　昺</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铁电薄膜和器件的制备与评价*</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胡卫进　张志东</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低维材料的第一原理设计和物理性能</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　腾　张志东</w:t>
            </w:r>
          </w:p>
        </w:tc>
      </w:tr>
      <w:tr>
        <w:tblPrEx>
          <w:shd w:val="clear" w:color="auto" w:fill="CCCCCC"/>
          <w:tblLayout w:type="fixed"/>
          <w:tblCellMar>
            <w:top w:w="0" w:type="dxa"/>
            <w:left w:w="0" w:type="dxa"/>
            <w:bottom w:w="0" w:type="dxa"/>
            <w:right w:w="0" w:type="dxa"/>
          </w:tblCellMar>
        </w:tblPrEx>
        <w:trPr>
          <w:tblCellSpacing w:w="7" w:type="dxa"/>
        </w:trPr>
        <w:tc>
          <w:tcPr>
            <w:tcW w:w="880" w:type="dxa"/>
            <w:shd w:val="clear" w:color="auto" w:fill="FF9933"/>
            <w:tcMar>
              <w:top w:w="75" w:type="dxa"/>
              <w:left w:w="150" w:type="dxa"/>
              <w:bottom w:w="75" w:type="dxa"/>
              <w:right w:w="150"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c>
          <w:tcPr>
            <w:tcW w:w="7484" w:type="dxa"/>
            <w:shd w:val="clear" w:color="auto" w:fill="FF9933"/>
            <w:tcMar>
              <w:top w:w="75" w:type="dxa"/>
              <w:left w:w="150" w:type="dxa"/>
              <w:bottom w:w="75" w:type="dxa"/>
              <w:right w:w="150"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val="0"/>
                <w:i w:val="0"/>
                <w:caps w:val="0"/>
                <w:color w:val="003399"/>
                <w:spacing w:val="0"/>
                <w:sz w:val="18"/>
                <w:szCs w:val="18"/>
                <w:u w:val="none"/>
              </w:rPr>
            </w:pPr>
            <w:r>
              <w:rPr>
                <w:rStyle w:val="6"/>
                <w:rFonts w:hint="eastAsia" w:ascii="宋体" w:hAnsi="宋体" w:eastAsia="宋体" w:cs="宋体"/>
                <w:b/>
                <w:i w:val="0"/>
                <w:caps w:val="0"/>
                <w:color w:val="FFFFFF"/>
                <w:spacing w:val="0"/>
                <w:kern w:val="0"/>
                <w:sz w:val="18"/>
                <w:szCs w:val="18"/>
                <w:u w:val="none"/>
                <w:bdr w:val="none" w:color="auto" w:sz="0" w:space="0"/>
                <w:lang w:val="en-US" w:eastAsia="zh-CN" w:bidi="ar"/>
              </w:rPr>
              <w:t>催化材料研究部</w:t>
            </w:r>
          </w:p>
        </w:tc>
        <w:tc>
          <w:tcPr>
            <w:tcW w:w="2530" w:type="dxa"/>
            <w:shd w:val="clear" w:color="auto" w:fill="FF9933"/>
            <w:tcMar>
              <w:top w:w="75" w:type="dxa"/>
              <w:left w:w="150" w:type="dxa"/>
              <w:bottom w:w="75" w:type="dxa"/>
              <w:right w:w="150"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碳基新材料催化</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苏党生　温国栋</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纳米催化材料原位表征</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张炳森</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催化材料理论计算模拟</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　波</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75" w:type="dxa"/>
              <w:left w:w="150" w:type="dxa"/>
              <w:bottom w:w="75" w:type="dxa"/>
              <w:right w:w="150"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固体原子像研究部</w:t>
            </w:r>
          </w:p>
        </w:tc>
        <w:tc>
          <w:tcPr>
            <w:tcW w:w="2530" w:type="dxa"/>
            <w:shd w:val="clear" w:color="auto" w:fill="FF9933"/>
            <w:tcMar>
              <w:top w:w="75" w:type="dxa"/>
              <w:left w:w="150" w:type="dxa"/>
              <w:bottom w:w="75" w:type="dxa"/>
              <w:right w:w="150"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基于像差校正电子显微分析的材料基础科学问题研究*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马秀良</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功能氧化物量子材料的构筑以及结构与性能关系研究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唐云龙　马秀良</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钙钛矿氧化物功能薄膜亚埃尺度的界面结构特性*</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朱银莲</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层状材料界面调控机理的透射电镜研究*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郑士建</w:t>
            </w:r>
          </w:p>
        </w:tc>
      </w:tr>
      <w:tr>
        <w:tblPrEx>
          <w:shd w:val="clear" w:color="auto" w:fill="CCCCCC"/>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界面原子电子结构与材料物性*</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陈春林</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叠层薄膜的会聚束研究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叶恒强　杨志卿</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23</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金刚石材料的显微结构与形成机理</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贺连龙</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金属材料基因组基础*</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王绍青　马尚义</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25</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高温合金形变和相变的像差校正电子显微学研究*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杜　奎</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钛合金研究部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26</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钛合金形变微观机制模拟*</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徐东生　王　皞</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工程合金研究部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27</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多功能β钛合金变形机制的第一原理研究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胡青苗</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75" w:type="dxa"/>
              <w:left w:w="150" w:type="dxa"/>
              <w:bottom w:w="75" w:type="dxa"/>
              <w:right w:w="150"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材料加工模拟研究部</w:t>
            </w:r>
          </w:p>
        </w:tc>
        <w:tc>
          <w:tcPr>
            <w:tcW w:w="2530" w:type="dxa"/>
            <w:shd w:val="clear" w:color="auto" w:fill="FF9933"/>
            <w:tcMar>
              <w:top w:w="75" w:type="dxa"/>
              <w:left w:w="150" w:type="dxa"/>
              <w:bottom w:w="75" w:type="dxa"/>
              <w:right w:w="150"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28</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拓扑量子金属和合金的计算设计与模拟*</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陈星秋</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75" w:type="dxa"/>
              <w:left w:w="150" w:type="dxa"/>
              <w:bottom w:w="75" w:type="dxa"/>
              <w:right w:w="150"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环境功能材料研究部</w:t>
            </w:r>
          </w:p>
        </w:tc>
        <w:tc>
          <w:tcPr>
            <w:tcW w:w="2530" w:type="dxa"/>
            <w:shd w:val="clear" w:color="auto" w:fill="FF9933"/>
            <w:tcMar>
              <w:top w:w="75" w:type="dxa"/>
              <w:left w:w="150" w:type="dxa"/>
              <w:bottom w:w="75" w:type="dxa"/>
              <w:right w:w="150"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29</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环境催化材料*</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　琦</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30</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环境修复型功能材料*</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　琦</w:t>
            </w:r>
          </w:p>
        </w:tc>
      </w:tr>
      <w:tr>
        <w:tblPrEx>
          <w:tblLayout w:type="fixed"/>
          <w:tblCellMar>
            <w:top w:w="0" w:type="dxa"/>
            <w:left w:w="0" w:type="dxa"/>
            <w:bottom w:w="0" w:type="dxa"/>
            <w:right w:w="0" w:type="dxa"/>
          </w:tblCellMar>
        </w:tblPrEx>
        <w:trPr>
          <w:tblCellSpacing w:w="7" w:type="dxa"/>
        </w:trPr>
        <w:tc>
          <w:tcPr>
            <w:tcW w:w="880" w:type="dxa"/>
            <w:shd w:val="clear" w:color="auto" w:fill="CC3333"/>
            <w:tcMar>
              <w:top w:w="75" w:type="dxa"/>
              <w:left w:w="150" w:type="dxa"/>
              <w:bottom w:w="75" w:type="dxa"/>
              <w:right w:w="150" w:type="dxa"/>
            </w:tcMar>
            <w:vAlign w:val="center"/>
          </w:tcPr>
          <w:p>
            <w:pPr>
              <w:keepNext w:val="0"/>
              <w:keepLines w:val="0"/>
              <w:widowControl/>
              <w:suppressLineNumbers w:val="0"/>
              <w:shd w:val="clear" w:fill="CC3333"/>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c>
          <w:tcPr>
            <w:tcW w:w="7484" w:type="dxa"/>
            <w:shd w:val="clear" w:color="auto" w:fill="CC3333"/>
            <w:tcMar>
              <w:top w:w="45" w:type="dxa"/>
              <w:left w:w="150" w:type="dxa"/>
              <w:bottom w:w="45" w:type="dxa"/>
            </w:tcMar>
            <w:vAlign w:val="center"/>
          </w:tcPr>
          <w:p>
            <w:pPr>
              <w:keepNext w:val="0"/>
              <w:keepLines w:val="0"/>
              <w:widowControl/>
              <w:suppressLineNumbers w:val="0"/>
              <w:shd w:val="clear" w:fill="CC33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080502　材料学</w:t>
            </w:r>
          </w:p>
        </w:tc>
        <w:tc>
          <w:tcPr>
            <w:tcW w:w="2530" w:type="dxa"/>
            <w:shd w:val="clear" w:color="auto" w:fill="CC3333"/>
            <w:tcMar>
              <w:top w:w="75" w:type="dxa"/>
              <w:left w:w="150" w:type="dxa"/>
              <w:bottom w:w="75" w:type="dxa"/>
              <w:right w:w="150" w:type="dxa"/>
            </w:tcMar>
            <w:vAlign w:val="center"/>
          </w:tcPr>
          <w:p>
            <w:pPr>
              <w:keepNext w:val="0"/>
              <w:keepLines w:val="0"/>
              <w:widowControl/>
              <w:suppressLineNumbers w:val="0"/>
              <w:shd w:val="clear" w:fill="CC3333"/>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科学家工作室</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shd w:val="clear" w:color="auto" w:fill="CCCCCC"/>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极限尺寸纳米金属的制备（I）*</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史亦农</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极限尺寸纳米金属的制备（II）*</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李秀艳</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极限尺寸纳米金属的结构研究*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罗兆平</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纳米金属材料的变形与力学行为*</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刘小春</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不互溶合金结构纳米化与界面特性*</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金海军</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梯度纳米金属的强韧化机制*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陶乃镕</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纳米金属材料的扩散与表面合金化*</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王镇波</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纳米多孔金属变形与表面效应*</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金海军</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纳米金属材料的腐蚀行为*</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　波</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非平衡金属材料研究部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生物医用金属材料*</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　坚</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非晶复合材料制备及性能*</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张海峰</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非晶合金制备及成形*</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王爱民</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非晶合金*</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　毅</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非晶合金涂层制备、性能及工程化应用*</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王建强</w:t>
            </w:r>
          </w:p>
        </w:tc>
      </w:tr>
      <w:tr>
        <w:tblPrEx>
          <w:shd w:val="clear" w:color="auto" w:fill="CCCCCC"/>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高性能陶瓷研究部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极端环境陶瓷防护涂层*</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　洁</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先进陶瓷的高通量设计*</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王京阳　王杰民</w:t>
            </w:r>
          </w:p>
        </w:tc>
      </w:tr>
      <w:tr>
        <w:tblPrEx>
          <w:shd w:val="clear" w:color="auto" w:fill="CCCCCC"/>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先进陶瓷及复合材料*</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王京阳　孙鲁超</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新型超高温陶瓷*</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李美栓　徐敬军</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迈科烯（MXene）二维功能陶瓷材料*</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王晓辉　</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环境功能材料研究部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shd w:val="clear" w:color="auto" w:fill="CCCCCC"/>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微电子互连材料</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刘志权</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先进炭材料研究部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shd w:val="clear" w:color="auto" w:fill="CCCCCC"/>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可再生能源材料与器件*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成会明</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碳纳米管的制备与性能*</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　畅　侯鹏翔</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23</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石墨烯的制备与应用*</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任文才</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新能源材料*</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孙振华　李　峰</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25</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能源材料原位电镜研究*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　峰　何　匡</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26</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太阳能光催化材料*</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　岗　甄　超</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27</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纳米碳基电子器件*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孙东明</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28</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纳米炭复合材料结构功能一体化*</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曾　尤</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29</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碳纳米材料生长机理的原位TEM研究*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汤代明　张莉莉</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高温合金研究部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30</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单晶高温合金</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楼琅洪　李　辉</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31</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先进高温材料及凝固技术研究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于金江　刘金来</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32</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高温合金熔体特性研究及表征方法</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杨金侠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33</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磷在IN718合金中的赋存形式及其与热力学条件的关系</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信　昕　孙文儒</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34</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抗热腐蚀高温合金的成分设计与性能优化</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侯介山　周兰章</w:t>
            </w:r>
          </w:p>
        </w:tc>
      </w:tr>
      <w:tr>
        <w:tblPrEx>
          <w:shd w:val="clear" w:color="auto" w:fill="CCCCCC"/>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35</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电站高温材料的成分设计与制备技术</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周兰章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36</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高强抗热腐蚀单晶研制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　志　宁礼奎</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37</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难熔金属型芯制备技术</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刘恩泽　郑　志</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工程合金研究部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38</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高强韧多功能钛合金增材制造技术研究*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郝玉琳　李述军</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39</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磷酸钙纳米材料制备及生物功能研究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　兴</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钛合金研究部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40</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Ti2AlNb合金的热加工工艺及力学性能优化研究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王清江　赵子博</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41</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核级锆合金低维晶体缺陷研究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李阁平</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42</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高性能聚合物复合材料工艺与性能</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隋国鑫　刘冬艳</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43</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钛合金棒线材组织织构演化及其与力学性能关系</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董利民　张志强</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44</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高强度TiAl合金性能优化研究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　锐　刘仁慈</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功能薄膜与界面研究部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45</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功能薄膜材料设计与应用研究*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姜　辛　邱建航</w:t>
            </w:r>
          </w:p>
        </w:tc>
      </w:tr>
      <w:tr>
        <w:tblPrEx>
          <w:shd w:val="clear" w:color="auto" w:fill="CCCCCC"/>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46</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半导体薄膜与纳米材料的可控制备与光电性能研究*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刘宝丹</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47</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新型金属基纳米结构类材料的高效制备及性能测试*</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邰凯平　</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材料特种制备与加工研究部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48</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聚多糖纳米材料的功能化*</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张劲松</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49</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甲壳素基生物材料研究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　岩</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专用材料与器件研究部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50</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氢致纳米材料制备及生成机理</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　伟　陈德敏</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51</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智能电热材料研究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张荣禄　段德莉</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材料环境腐蚀研究中心</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52</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铸造镁合金组织性能表征、控制工艺及机理</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陈荣石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53</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镁合金织构形成机理及调控</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闫　宏　陈荣石</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54</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高强耐热镁合金及其成形工艺研发与应用</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　迪　陈荣石</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金属腐蚀与防护实验室</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55</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熔盐电化学</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刘会军　曾潮流</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56</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纳米智能防腐技术*</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　瑛</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57</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新型缓蚀剂制备与性能</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杨怀玉</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58</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智能电化学制造</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杜克勤</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59</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热障涂层</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鲍泽斌</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60</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高温涂层制备科学</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沈明礼　朱圣龙</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61</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海洋材料腐蚀与防护</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辛　丽　管　勇</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62</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高温氧化和防护</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董志宏</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63</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电化学储能及关键材料</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唐　奡</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64</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应用电化学及材料</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刘建国　严川伟</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材料环境腐蚀研究中心</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shd w:val="clear" w:color="auto" w:fill="CCCCCC"/>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65</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材料的腐蚀行为与损伤评价</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韩恩厚</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66</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材料腐蚀失效行为研究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韩恩厚　左景辉</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67</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腐蚀与磨损交互作用*</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郑玉贵</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68</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材料的力学化学交互作用*</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王俭秋　张志明</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69</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核级合金高温水腐蚀损伤行为及水化学影响机制*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吴欣强</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70</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材料自然环境腐蚀</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王振尧　潘　晨</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71</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新型高性能轻质合金的力学化学交互作用行为</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许道奎</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72</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腐蚀控制技术研究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　健　柯　伟</w:t>
            </w:r>
          </w:p>
        </w:tc>
      </w:tr>
      <w:tr>
        <w:tblPrEx>
          <w:tblLayout w:type="fixed"/>
          <w:tblCellMar>
            <w:top w:w="0" w:type="dxa"/>
            <w:left w:w="0" w:type="dxa"/>
            <w:bottom w:w="0" w:type="dxa"/>
            <w:right w:w="0" w:type="dxa"/>
          </w:tblCellMar>
        </w:tblPrEx>
        <w:trPr>
          <w:tblCellSpacing w:w="7" w:type="dxa"/>
        </w:trPr>
        <w:tc>
          <w:tcPr>
            <w:tcW w:w="880" w:type="dxa"/>
            <w:shd w:val="clear" w:color="auto" w:fill="CC3333"/>
            <w:tcMar>
              <w:top w:w="45" w:type="dxa"/>
              <w:left w:w="150" w:type="dxa"/>
              <w:bottom w:w="45" w:type="dxa"/>
            </w:tcMar>
            <w:vAlign w:val="center"/>
          </w:tcPr>
          <w:p>
            <w:pPr>
              <w:keepNext w:val="0"/>
              <w:keepLines w:val="0"/>
              <w:widowControl/>
              <w:suppressLineNumbers w:val="0"/>
              <w:shd w:val="clear" w:fill="CC33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CC3333"/>
            <w:tcMar>
              <w:top w:w="45" w:type="dxa"/>
              <w:left w:w="150" w:type="dxa"/>
              <w:bottom w:w="45" w:type="dxa"/>
            </w:tcMar>
            <w:vAlign w:val="center"/>
          </w:tcPr>
          <w:p>
            <w:pPr>
              <w:keepNext w:val="0"/>
              <w:keepLines w:val="0"/>
              <w:widowControl/>
              <w:suppressLineNumbers w:val="0"/>
              <w:shd w:val="clear" w:fill="CC33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080503　材料加工工程</w:t>
            </w:r>
          </w:p>
        </w:tc>
        <w:tc>
          <w:tcPr>
            <w:tcW w:w="2530" w:type="dxa"/>
            <w:shd w:val="clear" w:color="auto" w:fill="CC3333"/>
            <w:tcMar>
              <w:top w:w="45" w:type="dxa"/>
              <w:left w:w="150" w:type="dxa"/>
              <w:bottom w:w="45" w:type="dxa"/>
            </w:tcMar>
            <w:vAlign w:val="center"/>
          </w:tcPr>
          <w:p>
            <w:pPr>
              <w:keepNext w:val="0"/>
              <w:keepLines w:val="0"/>
              <w:widowControl/>
              <w:suppressLineNumbers w:val="0"/>
              <w:shd w:val="clear" w:fill="CC33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材料加工模拟研究部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钢铁材料素化设计与制备</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李殿中　王　培</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钢中宏观偏析的模拟与实验研究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李殿中</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稀土特殊钢组织性能研究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栾义坤</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轻质合金构筑界面演化行为*</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孙明月　徐　斌</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高强高韧海工钢焊材研制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陆善平</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非平衡金属材料研究部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轻质材料的搅拌摩擦焊接*</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马宗义　倪丁瑞</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金属基复合材料力学行为*</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肖伯律　刘振宇</w:t>
            </w:r>
          </w:p>
        </w:tc>
      </w:tr>
      <w:tr>
        <w:tblPrEx>
          <w:shd w:val="clear" w:color="auto" w:fill="CCCCCC"/>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分析测试部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材料无损检测与评价</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蔡桂喜　张　博</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材料表面工程研究部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材料耐久性防护与工程化</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　京　魏英华</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功能薄膜材料与制备</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宫　骏</w:t>
            </w:r>
          </w:p>
        </w:tc>
      </w:tr>
      <w:tr>
        <w:tblPrEx>
          <w:shd w:val="clear" w:color="auto" w:fill="CCCCCC"/>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高温防护涂层研究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姜肃猛　孙　超</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苛刻环境防护涂层材料及技术研究*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杜　昊</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热喷涂陶瓷涂层高温相变与耐磨性研究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崔新宇　熊天英</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高温防护涂料及性能研究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孔令艳　熊天英</w:t>
            </w:r>
          </w:p>
        </w:tc>
      </w:tr>
      <w:tr>
        <w:tblPrEx>
          <w:shd w:val="clear" w:color="auto" w:fill="CCCCCC"/>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特殊环境材料研究部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微重力材料科学与技术或钢的微合金化机理</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罗兴宏</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特种合金的晶界构筑及使役行为</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赵明久</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耐热奥氏体不锈钢的微合金化研究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陈胜虎</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氧化物弥散强化合金</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　实　李　静</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核电快堆燃料包壳材料研究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马颖澈　梁　田</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模拟核电堆芯熔融产物研究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　波　刘　奎</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材料特种制备与加工研究部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高性能Cu基触头合金凝固与制备*</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赵九洲</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Cu基原位颗粒复合材料</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赵九洲</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23</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焊接质量控制技术</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陈怀宁　陈　静</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精密管材研究部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超高强度钢的强韧化机理</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孔凡亚　都祥元</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专用材料与器件研究部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25</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耐微生物腐蚀管线钢</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杨春光　杨　柯</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26</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医用金属材料的生物功能化</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任　玲　杨　柯</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27</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先进核电用结构材料</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单以银</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28</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柔性弯曲成形理论与技术</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宋鸿武　张士宏</w:t>
            </w:r>
          </w:p>
        </w:tc>
      </w:tr>
      <w:tr>
        <w:tblPrEx>
          <w:shd w:val="clear" w:color="auto" w:fill="CCCCCC"/>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29</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铝合金冲击液压成形极限的测试与表征</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　勇　张士宏</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30</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碳基/陶瓷基复合材料高温电磁性能研究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胡成龙　汤素芳</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31</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新型金属生物材料及应用</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　柯</w:t>
            </w:r>
          </w:p>
        </w:tc>
      </w:tr>
      <w:tr>
        <w:tblPrEx>
          <w:tblLayout w:type="fixed"/>
          <w:tblCellMar>
            <w:top w:w="0" w:type="dxa"/>
            <w:left w:w="0" w:type="dxa"/>
            <w:bottom w:w="0" w:type="dxa"/>
            <w:right w:w="0" w:type="dxa"/>
          </w:tblCellMar>
        </w:tblPrEx>
        <w:trPr>
          <w:tblCellSpacing w:w="7" w:type="dxa"/>
        </w:trPr>
        <w:tc>
          <w:tcPr>
            <w:tcW w:w="88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c>
          <w:tcPr>
            <w:tcW w:w="7484"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高温合金研究部</w:t>
            </w:r>
          </w:p>
        </w:tc>
        <w:tc>
          <w:tcPr>
            <w:tcW w:w="2530" w:type="dxa"/>
            <w:shd w:val="clear" w:color="auto" w:fill="FF9933"/>
            <w:tcMar>
              <w:top w:w="45" w:type="dxa"/>
              <w:left w:w="150" w:type="dxa"/>
              <w:bottom w:w="45" w:type="dxa"/>
            </w:tcMar>
            <w:vAlign w:val="center"/>
          </w:tcPr>
          <w:p>
            <w:pPr>
              <w:keepNext w:val="0"/>
              <w:keepLines w:val="0"/>
              <w:widowControl/>
              <w:suppressLineNumbers w:val="0"/>
              <w:shd w:val="clear" w:fill="FF9933"/>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 </w:t>
            </w:r>
          </w:p>
        </w:tc>
      </w:tr>
      <w:tr>
        <w:tblPrEx>
          <w:shd w:val="clear" w:color="auto" w:fill="CCCCCC"/>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32</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高温合金凝固过程控制</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李应举　冯小辉　杨院生</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33</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轻质高强合金的制备与性能</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罗天骄　杨院生</w:t>
            </w:r>
          </w:p>
        </w:tc>
      </w:tr>
      <w:tr>
        <w:tblPrEx>
          <w:tblLayout w:type="fixed"/>
          <w:tblCellMar>
            <w:top w:w="0" w:type="dxa"/>
            <w:left w:w="0" w:type="dxa"/>
            <w:bottom w:w="0" w:type="dxa"/>
            <w:right w:w="0" w:type="dxa"/>
          </w:tblCellMar>
        </w:tblPrEx>
        <w:trPr>
          <w:tblCellSpacing w:w="7" w:type="dxa"/>
        </w:trPr>
        <w:tc>
          <w:tcPr>
            <w:tcW w:w="88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34</w:t>
            </w:r>
          </w:p>
        </w:tc>
        <w:tc>
          <w:tcPr>
            <w:tcW w:w="748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GH4169G合金的变形机制及热加工工艺模拟</w:t>
            </w:r>
          </w:p>
        </w:tc>
        <w:tc>
          <w:tcPr>
            <w:tcW w:w="2530"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张伟红</w:t>
            </w:r>
          </w:p>
        </w:tc>
      </w:tr>
    </w:tbl>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注：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1、以上研究方向均可招收全日制专业学位硕士研究生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2、带*研究方向要求硕博连读</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Ⅲ初试科目</w:t>
      </w:r>
    </w:p>
    <w:p>
      <w:pPr>
        <w:keepNext w:val="0"/>
        <w:keepLines w:val="0"/>
        <w:widowControl/>
        <w:suppressLineNumbers w:val="0"/>
        <w:jc w:val="left"/>
      </w:pPr>
      <w:r>
        <w:rPr>
          <w:rStyle w:val="6"/>
          <w:rFonts w:hint="eastAsia" w:ascii="宋体" w:hAnsi="宋体" w:eastAsia="宋体" w:cs="宋体"/>
          <w:i w:val="0"/>
          <w:caps w:val="0"/>
          <w:color w:val="575757"/>
          <w:spacing w:val="0"/>
          <w:kern w:val="0"/>
          <w:sz w:val="18"/>
          <w:szCs w:val="18"/>
          <w:shd w:val="clear" w:fill="FFFFFF"/>
          <w:lang w:val="en-US" w:eastAsia="zh-CN" w:bidi="ar"/>
        </w:rPr>
        <w:t>080501材料物理与化学、080502材料学、080503材料加工工程、085204材料工程：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101思想政治理论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201英语一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302数学二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921大学物理或922物理化学C或923材料力学或940材料科学基础B</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Ⅳ复试办法</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bookmarkStart w:id="1" w:name="_Toc425974612"/>
      <w:r>
        <w:rPr>
          <w:rFonts w:hint="eastAsia" w:ascii="宋体" w:hAnsi="宋体" w:eastAsia="宋体" w:cs="宋体"/>
          <w:i w:val="0"/>
          <w:caps w:val="0"/>
          <w:color w:val="575757"/>
          <w:spacing w:val="0"/>
          <w:sz w:val="18"/>
          <w:szCs w:val="18"/>
          <w:shd w:val="clear" w:fill="FFFFFF"/>
        </w:rPr>
        <w:t>一、复试原则</w:t>
      </w:r>
      <w:bookmarkEnd w:id="1"/>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坚持科学选拔。积极探索并遵循高层次专业人才选拔规律，采用多样化的考察方式方法，确保生源质量。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坚持公平公正。做到政策透明、程序公正、结果公开、监督机制健全，维护考生的合法权益。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坚持全面考查，突出重点。在对考生德智体等各方面全面考察基础上，突出对专业素质、实践能力以及创新精神等方面的考核。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坚持客观评价。业务课考核成绩量化，综合素质考核有较明确的等次结果。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坚持以人为本，增强服务意识，提高管理水平。</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bookmarkStart w:id="2" w:name="_Toc425974613"/>
      <w:r>
        <w:rPr>
          <w:rFonts w:hint="eastAsia" w:ascii="宋体" w:hAnsi="宋体" w:eastAsia="宋体" w:cs="宋体"/>
          <w:i w:val="0"/>
          <w:caps w:val="0"/>
          <w:color w:val="575757"/>
          <w:spacing w:val="0"/>
          <w:sz w:val="18"/>
          <w:szCs w:val="18"/>
          <w:shd w:val="clear" w:fill="FFFFFF"/>
        </w:rPr>
        <w:t>二、复试内容</w:t>
      </w:r>
      <w:bookmarkEnd w:id="2"/>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为提高复试工作有效性，并根据我所的学科特点，确定复试内容包括以下方面：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6"/>
          <w:rFonts w:hint="eastAsia" w:ascii="宋体" w:hAnsi="宋体" w:eastAsia="宋体" w:cs="宋体"/>
          <w:i w:val="0"/>
          <w:caps w:val="0"/>
          <w:color w:val="575757"/>
          <w:spacing w:val="0"/>
          <w:kern w:val="0"/>
          <w:sz w:val="18"/>
          <w:szCs w:val="18"/>
          <w:shd w:val="clear" w:fill="FFFFFF"/>
          <w:lang w:val="en-US" w:eastAsia="zh-CN" w:bidi="ar"/>
        </w:rPr>
        <w:t>（1）专业素质和能力</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① 大学阶段学习情况及成绩；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② 专业课笔试；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③ 专业面试；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④ 英语听说能力测试；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⑤ 创新精神和创新能力。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6"/>
          <w:rFonts w:hint="eastAsia" w:ascii="宋体" w:hAnsi="宋体" w:eastAsia="宋体" w:cs="宋体"/>
          <w:i w:val="0"/>
          <w:caps w:val="0"/>
          <w:color w:val="575757"/>
          <w:spacing w:val="0"/>
          <w:kern w:val="0"/>
          <w:sz w:val="18"/>
          <w:szCs w:val="18"/>
          <w:shd w:val="clear" w:fill="FFFFFF"/>
          <w:lang w:val="en-US" w:eastAsia="zh-CN" w:bidi="ar"/>
        </w:rPr>
        <w:t>（2）综合素质和能力</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① 思想政治素质和道德品质等（人事档案审查或政审在发放录取通知书之前完成）；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② 本学科（专业）以外的学习、科研、社会实践（学生工作、社团活动、志愿服务等）或实际工作表现等方面的情况；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③ 事业心、责任感、纪律性（遵纪守法）、协作精神和身心健康情况；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④ 人文素养；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⑤ 举止、表达和礼仪等。</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bookmarkStart w:id="3" w:name="_Toc425974614"/>
      <w:r>
        <w:rPr>
          <w:rFonts w:hint="eastAsia" w:ascii="宋体" w:hAnsi="宋体" w:eastAsia="宋体" w:cs="宋体"/>
          <w:i w:val="0"/>
          <w:caps w:val="0"/>
          <w:color w:val="575757"/>
          <w:spacing w:val="0"/>
          <w:sz w:val="18"/>
          <w:szCs w:val="18"/>
          <w:shd w:val="clear" w:fill="FFFFFF"/>
        </w:rPr>
        <w:t>三、复试形式</w:t>
      </w:r>
      <w:bookmarkEnd w:id="3"/>
    </w:p>
    <w:p>
      <w:pPr>
        <w:keepNext w:val="0"/>
        <w:keepLines w:val="0"/>
        <w:widowControl/>
        <w:suppressLineNumbers w:val="0"/>
        <w:jc w:val="left"/>
      </w:pPr>
      <w:r>
        <w:rPr>
          <w:rStyle w:val="6"/>
          <w:rFonts w:hint="eastAsia" w:ascii="宋体" w:hAnsi="宋体" w:eastAsia="宋体" w:cs="宋体"/>
          <w:i w:val="0"/>
          <w:caps w:val="0"/>
          <w:color w:val="575757"/>
          <w:spacing w:val="0"/>
          <w:kern w:val="0"/>
          <w:sz w:val="18"/>
          <w:szCs w:val="18"/>
          <w:shd w:val="clear" w:fill="FFFFFF"/>
          <w:lang w:val="en-US" w:eastAsia="zh-CN" w:bidi="ar"/>
        </w:rPr>
        <w:t>（1）专业课笔试</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① 专业课笔试原则上按照专业知识综合考试的形式进行。必答题部分是对考生综合能力的考核与测试，主要针对理工科类相关知识的理解和应用。选答题部分针对物理、材料、加工、化学四大学科门类进行命题，考生可任选一类回答。考试内容及参考书见下表：</w:t>
      </w:r>
    </w:p>
    <w:tbl>
      <w:tblPr>
        <w:tblW w:w="10948" w:type="dxa"/>
        <w:tblCellSpacing w:w="7" w:type="dxa"/>
        <w:tblInd w:w="0" w:type="dxa"/>
        <w:shd w:val="clear" w:color="auto" w:fill="CCCCCC"/>
        <w:tblLayout w:type="fixed"/>
        <w:tblCellMar>
          <w:top w:w="0" w:type="dxa"/>
          <w:left w:w="0" w:type="dxa"/>
          <w:bottom w:w="0" w:type="dxa"/>
          <w:right w:w="0" w:type="dxa"/>
        </w:tblCellMar>
      </w:tblPr>
      <w:tblGrid>
        <w:gridCol w:w="1242"/>
        <w:gridCol w:w="2456"/>
        <w:gridCol w:w="4121"/>
        <w:gridCol w:w="3129"/>
      </w:tblGrid>
      <w:tr>
        <w:tblPrEx>
          <w:tblLayout w:type="fixed"/>
          <w:tblCellMar>
            <w:top w:w="0" w:type="dxa"/>
            <w:left w:w="0" w:type="dxa"/>
            <w:bottom w:w="0" w:type="dxa"/>
            <w:right w:w="0" w:type="dxa"/>
          </w:tblCellMar>
        </w:tblPrEx>
        <w:trPr>
          <w:tblCellSpacing w:w="7" w:type="dxa"/>
        </w:trPr>
        <w:tc>
          <w:tcPr>
            <w:tcW w:w="1221" w:type="dxa"/>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名称</w:t>
            </w:r>
          </w:p>
        </w:tc>
        <w:tc>
          <w:tcPr>
            <w:tcW w:w="2444" w:type="dxa"/>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课程名称</w:t>
            </w:r>
          </w:p>
        </w:tc>
        <w:tc>
          <w:tcPr>
            <w:tcW w:w="4109" w:type="dxa"/>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参考书及编者</w:t>
            </w:r>
          </w:p>
        </w:tc>
        <w:tc>
          <w:tcPr>
            <w:tcW w:w="3108" w:type="dxa"/>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出版社</w:t>
            </w:r>
          </w:p>
        </w:tc>
      </w:tr>
      <w:tr>
        <w:tblPrEx>
          <w:shd w:val="clear" w:color="auto" w:fill="CCCCCC"/>
          <w:tblLayout w:type="fixed"/>
          <w:tblCellMar>
            <w:top w:w="0" w:type="dxa"/>
            <w:left w:w="0" w:type="dxa"/>
            <w:bottom w:w="0" w:type="dxa"/>
            <w:right w:w="0" w:type="dxa"/>
          </w:tblCellMar>
        </w:tblPrEx>
        <w:trPr>
          <w:tblCellSpacing w:w="7" w:type="dxa"/>
        </w:trPr>
        <w:tc>
          <w:tcPr>
            <w:tcW w:w="122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物理类</w:t>
            </w:r>
          </w:p>
        </w:tc>
        <w:tc>
          <w:tcPr>
            <w:tcW w:w="2444"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固体物理</w:t>
            </w:r>
          </w:p>
        </w:tc>
        <w:tc>
          <w:tcPr>
            <w:tcW w:w="41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《固体物理学》方俊鑫、陆栋主编</w:t>
            </w:r>
          </w:p>
        </w:tc>
        <w:tc>
          <w:tcPr>
            <w:tcW w:w="3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上海科技出版社</w:t>
            </w:r>
          </w:p>
        </w:tc>
      </w:tr>
      <w:tr>
        <w:tblPrEx>
          <w:tblLayout w:type="fixed"/>
          <w:tblCellMar>
            <w:top w:w="0" w:type="dxa"/>
            <w:left w:w="0" w:type="dxa"/>
            <w:bottom w:w="0" w:type="dxa"/>
            <w:right w:w="0" w:type="dxa"/>
          </w:tblCellMar>
        </w:tblPrEx>
        <w:trPr>
          <w:tblCellSpacing w:w="7" w:type="dxa"/>
        </w:trPr>
        <w:tc>
          <w:tcPr>
            <w:tcW w:w="122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44"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《固体物理学》黄昆 原著 韩汝琦 改编</w:t>
            </w:r>
          </w:p>
        </w:tc>
        <w:tc>
          <w:tcPr>
            <w:tcW w:w="3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高等教育出版社</w:t>
            </w:r>
          </w:p>
        </w:tc>
      </w:tr>
      <w:tr>
        <w:tblPrEx>
          <w:shd w:val="clear" w:color="auto" w:fill="CCCCCC"/>
          <w:tblLayout w:type="fixed"/>
          <w:tblCellMar>
            <w:top w:w="0" w:type="dxa"/>
            <w:left w:w="0" w:type="dxa"/>
            <w:bottom w:w="0" w:type="dxa"/>
            <w:right w:w="0" w:type="dxa"/>
          </w:tblCellMar>
        </w:tblPrEx>
        <w:trPr>
          <w:tblCellSpacing w:w="7" w:type="dxa"/>
        </w:trPr>
        <w:tc>
          <w:tcPr>
            <w:tcW w:w="122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化学类</w:t>
            </w:r>
          </w:p>
        </w:tc>
        <w:tc>
          <w:tcPr>
            <w:tcW w:w="24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无机化学</w:t>
            </w:r>
          </w:p>
        </w:tc>
        <w:tc>
          <w:tcPr>
            <w:tcW w:w="41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《无机化学》武大、吉大等校编 第三版</w:t>
            </w:r>
          </w:p>
        </w:tc>
        <w:tc>
          <w:tcPr>
            <w:tcW w:w="3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高等教育出版社</w:t>
            </w:r>
          </w:p>
        </w:tc>
      </w:tr>
      <w:tr>
        <w:tblPrEx>
          <w:tblLayout w:type="fixed"/>
          <w:tblCellMar>
            <w:top w:w="0" w:type="dxa"/>
            <w:left w:w="0" w:type="dxa"/>
            <w:bottom w:w="0" w:type="dxa"/>
            <w:right w:w="0" w:type="dxa"/>
          </w:tblCellMar>
        </w:tblPrEx>
        <w:trPr>
          <w:tblCellSpacing w:w="7" w:type="dxa"/>
        </w:trPr>
        <w:tc>
          <w:tcPr>
            <w:tcW w:w="122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材料类</w:t>
            </w:r>
          </w:p>
        </w:tc>
        <w:tc>
          <w:tcPr>
            <w:tcW w:w="24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材料科学基础</w:t>
            </w:r>
          </w:p>
        </w:tc>
        <w:tc>
          <w:tcPr>
            <w:tcW w:w="41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《材料科学基础》胡赓祥主编</w:t>
            </w:r>
          </w:p>
        </w:tc>
        <w:tc>
          <w:tcPr>
            <w:tcW w:w="3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上海交通大学出版社</w:t>
            </w:r>
          </w:p>
        </w:tc>
      </w:tr>
      <w:tr>
        <w:tblPrEx>
          <w:shd w:val="clear" w:color="auto" w:fill="CCCCCC"/>
          <w:tblLayout w:type="fixed"/>
          <w:tblCellMar>
            <w:top w:w="0" w:type="dxa"/>
            <w:left w:w="0" w:type="dxa"/>
            <w:bottom w:w="0" w:type="dxa"/>
            <w:right w:w="0" w:type="dxa"/>
          </w:tblCellMar>
        </w:tblPrEx>
        <w:trPr>
          <w:tblCellSpacing w:w="7" w:type="dxa"/>
        </w:trPr>
        <w:tc>
          <w:tcPr>
            <w:tcW w:w="122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加工类</w:t>
            </w:r>
          </w:p>
        </w:tc>
        <w:tc>
          <w:tcPr>
            <w:tcW w:w="2444"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材料成形原理</w:t>
            </w:r>
          </w:p>
        </w:tc>
        <w:tc>
          <w:tcPr>
            <w:tcW w:w="41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《材料成形原理》陈平昌、朱六姝、李赞主编</w:t>
            </w:r>
          </w:p>
        </w:tc>
        <w:tc>
          <w:tcPr>
            <w:tcW w:w="3108"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机械工业出版社</w:t>
            </w:r>
          </w:p>
        </w:tc>
      </w:tr>
      <w:tr>
        <w:tblPrEx>
          <w:tblLayout w:type="fixed"/>
          <w:tblCellMar>
            <w:top w:w="0" w:type="dxa"/>
            <w:left w:w="0" w:type="dxa"/>
            <w:bottom w:w="0" w:type="dxa"/>
            <w:right w:w="0" w:type="dxa"/>
          </w:tblCellMar>
        </w:tblPrEx>
        <w:trPr>
          <w:tblCellSpacing w:w="7" w:type="dxa"/>
        </w:trPr>
        <w:tc>
          <w:tcPr>
            <w:tcW w:w="122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44"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10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《材料成形原理》吴树森、柳玉起主编 第2版</w:t>
            </w:r>
          </w:p>
        </w:tc>
        <w:tc>
          <w:tcPr>
            <w:tcW w:w="3108"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bl>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各门类参考教材可任选其一。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② 考试形式为闭卷，试卷满分为100分，考试时间为180分钟。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6"/>
          <w:rFonts w:hint="eastAsia" w:ascii="宋体" w:hAnsi="宋体" w:eastAsia="宋体" w:cs="宋体"/>
          <w:i w:val="0"/>
          <w:caps w:val="0"/>
          <w:color w:val="575757"/>
          <w:spacing w:val="0"/>
          <w:kern w:val="0"/>
          <w:sz w:val="18"/>
          <w:szCs w:val="18"/>
          <w:shd w:val="clear" w:fill="FFFFFF"/>
          <w:lang w:val="en-US" w:eastAsia="zh-CN" w:bidi="ar"/>
        </w:rPr>
        <w:t>（2）专业面试</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① 按照考生本科所学专业及报考类别分成若干相关专业组，进行分组复试。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② 各专业组由至少5名相关研究方向具有副研究员以上专业技术职务专家组成面试考核小组对考生进行面试，每组设组长1名。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③ 面试主要采取问答形式。主要考核考生的基础理论、基本技能、综合运用能力和创新能力等，并对考生大学阶段学习成绩、科研活动以及工作业绩进行考察。考试时间20分钟左右。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④ 面试过程中，每位老师均要进行书面记录。每名考生面试结束后由考核小组简短讨论后，每位主考教师当场独立评定分数。计分原则是考生的初评分为所有主考教师给定成绩的平均分。为保证各组评分的可比性，各组评分采用统一的量化标准。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⑤ 各专业组面试结束后，由组长组织主考教师对全组考生初评分情况进行复核，对多数主考教师有异议的考生，由全体主考教师对照书面记录和比较全组考生情况进行充分讨论达成一致意见后重新独立评分，按计分原则得出考生的最终专业面试成绩。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⑥ 如需对考生进一步考查时，可再次另行组织专业面试。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6"/>
          <w:rFonts w:hint="eastAsia" w:ascii="宋体" w:hAnsi="宋体" w:eastAsia="宋体" w:cs="宋体"/>
          <w:i w:val="0"/>
          <w:caps w:val="0"/>
          <w:color w:val="575757"/>
          <w:spacing w:val="0"/>
          <w:kern w:val="0"/>
          <w:sz w:val="18"/>
          <w:szCs w:val="18"/>
          <w:shd w:val="clear" w:fill="FFFFFF"/>
          <w:lang w:val="en-US" w:eastAsia="zh-CN" w:bidi="ar"/>
        </w:rPr>
        <w:t>（3）英语听说能力测试</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①主要测试考生听音辨义、理解日常交谈内容、以及是否能运用外语知识与技能进行口头交流的能力。考试时间8－10分钟。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② 测试分组进行，每组设两位主考教师。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大学阶段学习情况及成绩、创新精神和创新能力、综合素质和能力的考核贯穿于审查考生提交的相关证明材料、政审以及复试各个环节中进行。</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bookmarkStart w:id="4" w:name="_Toc425974615"/>
      <w:r>
        <w:rPr>
          <w:rFonts w:hint="eastAsia" w:ascii="宋体" w:hAnsi="宋体" w:eastAsia="宋体" w:cs="宋体"/>
          <w:i w:val="0"/>
          <w:caps w:val="0"/>
          <w:color w:val="575757"/>
          <w:spacing w:val="0"/>
          <w:sz w:val="18"/>
          <w:szCs w:val="18"/>
          <w:shd w:val="clear" w:fill="FFFFFF"/>
        </w:rPr>
        <w:t>四、同等学力考生复试</w:t>
      </w:r>
      <w:bookmarkEnd w:id="4"/>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对同等学力考生，须严格复试。应加强对本科主干课程和实验技能的考查，其中加试的闭卷笔试科目为2门，加试科目不得与初试科目相同，由我所自行组织命题，难易程度按大学本科教学大纲的要求掌握。每门科目考试时间3小时，试卷满分为100分。加试科目及参考书如下表：</w:t>
      </w:r>
    </w:p>
    <w:tbl>
      <w:tblPr>
        <w:tblpPr w:vertAnchor="text" w:tblpXSpec="left"/>
        <w:tblW w:w="10949" w:type="dxa"/>
        <w:tblCellSpacing w:w="7" w:type="dxa"/>
        <w:tblInd w:w="0" w:type="dxa"/>
        <w:shd w:val="clear" w:color="auto" w:fill="CCCCCC"/>
        <w:tblLayout w:type="fixed"/>
        <w:tblCellMar>
          <w:top w:w="0" w:type="dxa"/>
          <w:left w:w="0" w:type="dxa"/>
          <w:bottom w:w="0" w:type="dxa"/>
          <w:right w:w="0" w:type="dxa"/>
        </w:tblCellMar>
      </w:tblPr>
      <w:tblGrid>
        <w:gridCol w:w="2772"/>
        <w:gridCol w:w="4745"/>
        <w:gridCol w:w="3432"/>
      </w:tblGrid>
      <w:tr>
        <w:tblPrEx>
          <w:shd w:val="clear" w:color="auto" w:fill="CCCCCC"/>
          <w:tblLayout w:type="fixed"/>
        </w:tblPrEx>
        <w:trPr>
          <w:tblCellSpacing w:w="7" w:type="dxa"/>
        </w:trPr>
        <w:tc>
          <w:tcPr>
            <w:tcW w:w="2751"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加试科目</w:t>
            </w:r>
          </w:p>
        </w:tc>
        <w:tc>
          <w:tcPr>
            <w:tcW w:w="4733"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参考书及编者</w:t>
            </w:r>
          </w:p>
        </w:tc>
        <w:tc>
          <w:tcPr>
            <w:tcW w:w="3411"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出版社</w:t>
            </w:r>
          </w:p>
        </w:tc>
      </w:tr>
      <w:tr>
        <w:tblPrEx>
          <w:shd w:val="clear" w:color="auto" w:fill="CCCCCC"/>
          <w:tblLayout w:type="fixed"/>
          <w:tblCellMar>
            <w:top w:w="0" w:type="dxa"/>
            <w:left w:w="0" w:type="dxa"/>
            <w:bottom w:w="0" w:type="dxa"/>
            <w:right w:w="0" w:type="dxa"/>
          </w:tblCellMar>
        </w:tblPrEx>
        <w:trPr>
          <w:tblCellSpacing w:w="7" w:type="dxa"/>
        </w:trPr>
        <w:tc>
          <w:tcPr>
            <w:tcW w:w="2751"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材料科学基础</w:t>
            </w:r>
          </w:p>
        </w:tc>
        <w:tc>
          <w:tcPr>
            <w:tcW w:w="4733"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《材料科学基础》赵品、谢辅洲、孙文山主编</w:t>
            </w:r>
          </w:p>
        </w:tc>
        <w:tc>
          <w:tcPr>
            <w:tcW w:w="3411"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哈尔滨工业大学出版社</w:t>
            </w:r>
          </w:p>
        </w:tc>
      </w:tr>
      <w:tr>
        <w:tblPrEx>
          <w:shd w:val="clear" w:color="auto" w:fill="CCCCCC"/>
          <w:tblLayout w:type="fixed"/>
          <w:tblCellMar>
            <w:top w:w="0" w:type="dxa"/>
            <w:left w:w="0" w:type="dxa"/>
            <w:bottom w:w="0" w:type="dxa"/>
            <w:right w:w="0" w:type="dxa"/>
          </w:tblCellMar>
        </w:tblPrEx>
        <w:trPr>
          <w:tblCellSpacing w:w="7" w:type="dxa"/>
        </w:trPr>
        <w:tc>
          <w:tcPr>
            <w:tcW w:w="2751"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材料分析测试方法</w:t>
            </w:r>
          </w:p>
        </w:tc>
        <w:tc>
          <w:tcPr>
            <w:tcW w:w="4733"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《材料分析测试技术》周玉编著</w:t>
            </w:r>
          </w:p>
        </w:tc>
        <w:tc>
          <w:tcPr>
            <w:tcW w:w="3411"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哈尔滨工业大学出版社</w:t>
            </w:r>
          </w:p>
        </w:tc>
      </w:tr>
    </w:tbl>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 </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 </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bookmarkStart w:id="5" w:name="_Toc425974616"/>
      <w:r>
        <w:rPr>
          <w:rFonts w:hint="eastAsia" w:ascii="宋体" w:hAnsi="宋体" w:eastAsia="宋体" w:cs="宋体"/>
          <w:i w:val="0"/>
          <w:caps w:val="0"/>
          <w:color w:val="575757"/>
          <w:spacing w:val="0"/>
          <w:sz w:val="18"/>
          <w:szCs w:val="18"/>
          <w:shd w:val="clear" w:fill="FFFFFF"/>
        </w:rPr>
        <w:t>五、体检</w:t>
      </w:r>
      <w:bookmarkEnd w:id="5"/>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体检标准参照教育部、卫生部、中国残联制定的《普通高等学校招生体检工作指导意见》（教学[2003]3号）和教育部、卫生部制定的《关于普通高等学校招生学生入学身体检查取消乙肝项目检测有关问题的通知》（教学厅[2010]2号）实施。</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bookmarkStart w:id="6" w:name="_Toc425974617"/>
      <w:r>
        <w:rPr>
          <w:rFonts w:hint="eastAsia" w:ascii="宋体" w:hAnsi="宋体" w:eastAsia="宋体" w:cs="宋体"/>
          <w:i w:val="0"/>
          <w:caps w:val="0"/>
          <w:color w:val="575757"/>
          <w:spacing w:val="0"/>
          <w:sz w:val="18"/>
          <w:szCs w:val="18"/>
          <w:shd w:val="clear" w:fill="FFFFFF"/>
        </w:rPr>
        <w:t>六、提交材料</w:t>
      </w:r>
      <w:bookmarkEnd w:id="6"/>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参加复试的考生需要提交以下材料：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① 参加复试的考生应携带准考证、学历学位证书原件（往届生）和身份证（应届本科生还需交验学生证），备复试报到及参加复试各环节时查验；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② 本科毕业学校教务部门（或院系）出具并加盖公章的考生大学本科课程成绩单；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③ 政治审查材料（加盖公章并密封），应届毕业生由考生所在学校院系学生办公室出具，非应届毕业生由档案所在单位人事部门出具；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④ 反映考生英语水平的成绩证明或证书（复印件）；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⑤ 考生在公开发行的学术刊物或全国性学术会议上发表的学术论文，所获专利、科研成果及其它原创性工作成果的证明材料原件或复印件；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⑥ 考生的主要获奖证书（复印件）；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⑦ 考生简历；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⑧ 其它有参考价值的材料。</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bookmarkStart w:id="7" w:name="_Toc425974618"/>
      <w:r>
        <w:rPr>
          <w:rFonts w:hint="eastAsia" w:ascii="宋体" w:hAnsi="宋体" w:eastAsia="宋体" w:cs="宋体"/>
          <w:i w:val="0"/>
          <w:caps w:val="0"/>
          <w:color w:val="575757"/>
          <w:spacing w:val="0"/>
          <w:sz w:val="18"/>
          <w:szCs w:val="18"/>
          <w:shd w:val="clear" w:fill="FFFFFF"/>
        </w:rPr>
        <w:t>七、复试成绩及最终成绩</w:t>
      </w:r>
      <w:bookmarkEnd w:id="7"/>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复试成绩（满分100分）=专业课笔试成绩（满分100分）×40％＋专业面试成绩（满分100分）×50％＋英语听说能力测试成绩（满分100分）×10％。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最终成绩=（初试成绩÷5+复试成绩）÷2。</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bookmarkStart w:id="8" w:name="_Toc425974619"/>
      <w:r>
        <w:rPr>
          <w:rFonts w:hint="eastAsia" w:ascii="宋体" w:hAnsi="宋体" w:eastAsia="宋体" w:cs="宋体"/>
          <w:i w:val="0"/>
          <w:caps w:val="0"/>
          <w:color w:val="575757"/>
          <w:spacing w:val="0"/>
          <w:shd w:val="clear" w:fill="FFFFFF"/>
        </w:rPr>
        <w:t>Ⅴ录取</w:t>
      </w:r>
      <w:bookmarkEnd w:id="8"/>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依据考生总成绩，结合考生大学期间学习成绩、创新精神和能力、综合素质和能力及我所专业需求等进行综合排名择优确定拟录取名单报批。为保证招生质量，报批人数可小于招生计划。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复试成绩不合格者，不予录取。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同等学力考生加试成绩不计入复试成绩，任一门加试成绩不合格者，不予录取。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思想政治素质和道德品质考核及体检不作量化、不计入总成绩，考核不合格者不予录取。</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bookmarkStart w:id="9" w:name="_Toc425974620"/>
      <w:r>
        <w:rPr>
          <w:rFonts w:hint="eastAsia" w:ascii="宋体" w:hAnsi="宋体" w:eastAsia="宋体" w:cs="宋体"/>
          <w:i w:val="0"/>
          <w:caps w:val="0"/>
          <w:color w:val="575757"/>
          <w:spacing w:val="0"/>
          <w:shd w:val="clear" w:fill="FFFFFF"/>
        </w:rPr>
        <w:t>Ⅵ调剂</w:t>
      </w:r>
      <w:bookmarkEnd w:id="9"/>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金属所各专业在生源不足的情况下接受调剂。调剂信息将于复试阶段在中国科大研究生招生在线网站（http://yz.ustc.edu.cn）发布。</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bookmarkStart w:id="10" w:name="_Toc425974621"/>
      <w:r>
        <w:rPr>
          <w:rFonts w:hint="eastAsia" w:ascii="宋体" w:hAnsi="宋体" w:eastAsia="宋体" w:cs="宋体"/>
          <w:i w:val="0"/>
          <w:caps w:val="0"/>
          <w:color w:val="575757"/>
          <w:spacing w:val="0"/>
          <w:shd w:val="clear" w:fill="FFFFFF"/>
        </w:rPr>
        <w:t>Ⅶ学费标准</w:t>
      </w:r>
      <w:bookmarkEnd w:id="10"/>
    </w:p>
    <w:p>
      <w:pPr>
        <w:pStyle w:val="4"/>
        <w:keepNext w:val="0"/>
        <w:keepLines w:val="0"/>
        <w:widowControl/>
        <w:suppressLineNumbers w:val="0"/>
        <w:shd w:val="clear" w:fill="FFFFFF"/>
        <w:ind w:left="0" w:firstLine="0"/>
        <w:jc w:val="left"/>
        <w:rPr>
          <w:rFonts w:hint="eastAsia" w:ascii="宋体" w:hAnsi="宋体" w:eastAsia="宋体" w:cs="宋体"/>
          <w:b w:val="0"/>
          <w:i w:val="0"/>
          <w:caps w:val="0"/>
          <w:color w:val="575757"/>
          <w:spacing w:val="0"/>
          <w:sz w:val="18"/>
          <w:szCs w:val="18"/>
        </w:rPr>
      </w:pPr>
      <w:r>
        <w:rPr>
          <w:rFonts w:hint="eastAsia" w:ascii="宋体" w:hAnsi="宋体" w:eastAsia="宋体" w:cs="宋体"/>
          <w:b w:val="0"/>
          <w:i w:val="0"/>
          <w:caps w:val="0"/>
          <w:color w:val="575757"/>
          <w:spacing w:val="0"/>
          <w:sz w:val="18"/>
          <w:szCs w:val="18"/>
          <w:shd w:val="clear" w:fill="FFFFFF"/>
        </w:rPr>
        <w:t>8000元/学年。</w:t>
      </w:r>
    </w:p>
    <w:p>
      <w:pPr>
        <w:jc w:val="both"/>
        <w:rPr>
          <w:rFonts w:hint="eastAsia" w:ascii="宋体" w:hAnsi="宋体" w:eastAsia="宋体" w:cs="宋体"/>
          <w:b/>
          <w:bCs/>
          <w:sz w:val="24"/>
          <w:szCs w:val="24"/>
          <w:lang w:val="en-US" w:eastAsia="zh-CN"/>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A599B"/>
    <w:rsid w:val="60AA59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https://yz.ustc.edu.cn/sszs_2019/images/10.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2018-09-15T09:28:00Z</dcterms:created>
  <dc:creator>Zlh</dc:creator>
  <cp:lastModifiedBy>Zlh</cp:lastModifiedBy>
  <dcterms:modified xsi:type="dcterms:W3CDTF">2018-09-15T09:30:53Z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