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2019年中国科学技术大学</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"https://yz.ustc.edu.cn/sszs_2019/index_10.shtml"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纳米</w:t>
      </w:r>
      <w:r>
        <w:rPr>
          <w:rFonts w:hint="eastAsia" w:ascii="宋体" w:hAnsi="宋体" w:eastAsia="宋体" w:cs="宋体"/>
          <w:b/>
          <w:bCs/>
          <w:sz w:val="24"/>
          <w:szCs w:val="24"/>
        </w:rPr>
        <w:t>学院</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硕士研究生招生简章与目录</w:t>
      </w:r>
    </w:p>
    <w:bookmarkEnd w:id="0"/>
    <w:p>
      <w:pPr>
        <w:rPr>
          <w:rFonts w:hint="eastAsia" w:ascii="宋体" w:hAnsi="宋体" w:eastAsia="宋体" w:cs="宋体"/>
          <w:b/>
          <w:i w:val="0"/>
          <w:caps w:val="0"/>
          <w:color w:val="666666"/>
          <w:spacing w:val="0"/>
          <w:sz w:val="18"/>
          <w:szCs w:val="18"/>
          <w:shd w:val="clear" w:fill="DEF1FB"/>
        </w:rPr>
      </w:pPr>
    </w:p>
    <w:p>
      <w:pPr>
        <w:rPr>
          <w:rFonts w:hint="eastAsia"/>
          <w:b/>
          <w:bCs/>
          <w:sz w:val="24"/>
          <w:szCs w:val="24"/>
        </w:rPr>
      </w:pPr>
      <w:r>
        <w:rPr>
          <w:rFonts w:hint="eastAsia"/>
          <w:b/>
          <w:bCs/>
          <w:sz w:val="24"/>
          <w:szCs w:val="24"/>
        </w:rPr>
        <w:t>材料工程</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一、报考说明：统考生。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研究纳米材料的合成、制备工艺、组成、结构、性能、应用和它们之间的关系及变化规律。学生应具有坚实的数理化基础知识和实验技能，特别是应具有固体化学和材料合成化学方面的专业知识和有关实验技能，以及研究开发和生产纳米材料工作能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3603"/>
        <w:gridCol w:w="4880"/>
      </w:tblGrid>
      <w:tr>
        <w:tblPrEx>
          <w:shd w:val="clear" w:color="auto" w:fill="CCCCCC"/>
          <w:tblLayout w:type="fixed"/>
          <w:tblCellMar>
            <w:top w:w="0" w:type="dxa"/>
            <w:left w:w="0" w:type="dxa"/>
            <w:bottom w:w="0" w:type="dxa"/>
            <w:right w:w="0" w:type="dxa"/>
          </w:tblCellMar>
        </w:tblPrEx>
        <w:trPr>
          <w:tblCellSpacing w:w="7" w:type="dxa"/>
        </w:trPr>
        <w:tc>
          <w:tcPr>
            <w:tcW w:w="358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859"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358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2、纳米材料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3、纳米能源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4、纳米催化</w:t>
            </w:r>
          </w:p>
        </w:tc>
        <w:tc>
          <w:tcPr>
            <w:tcW w:w="485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802材料科学基础</w:t>
            </w:r>
          </w:p>
        </w:tc>
      </w:tr>
    </w:tbl>
    <w:p>
      <w:pPr/>
      <w:r>
        <w:rPr>
          <w:rFonts w:hint="eastAsia" w:ascii="宋体" w:hAnsi="宋体" w:eastAsia="宋体" w:cs="宋体"/>
          <w:b w:val="0"/>
          <w:i w:val="0"/>
          <w:caps w:val="0"/>
          <w:color w:val="575757"/>
          <w:spacing w:val="0"/>
          <w:kern w:val="0"/>
          <w:sz w:val="18"/>
          <w:szCs w:val="18"/>
          <w:shd w:val="clear" w:fill="FFFFFF"/>
          <w:lang w:val="en-US" w:eastAsia="zh-CN" w:bidi="ar"/>
        </w:rPr>
        <w:t>四、复试形式：笔试+面试。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笔试：主要考核考生个性心理特征、诚信状况、意志品质等。本部分成绩为“通过/不通过”，只有“通过”考生方可录取。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面试：英语+专业知识。以考察基础知识和综合应用知识能力为主。</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：满分100分。初试成绩不计政治，复试成绩占比50%。即：最终成绩=（初试成绩【不计政治】÷4+复试成绩）÷2。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：共计3万元，第一、二学年初各缴1.5万元。</w:t>
      </w:r>
    </w:p>
    <w:p>
      <w:pPr>
        <w:rPr>
          <w:rFonts w:hint="eastAsia" w:ascii="宋体" w:hAnsi="宋体" w:eastAsia="宋体" w:cs="宋体"/>
          <w:b/>
          <w:i w:val="0"/>
          <w:caps w:val="0"/>
          <w:color w:val="666666"/>
          <w:spacing w:val="0"/>
          <w:sz w:val="18"/>
          <w:szCs w:val="18"/>
          <w:shd w:val="clear" w:fill="DEF1FB"/>
        </w:rPr>
      </w:pPr>
    </w:p>
    <w:p>
      <w:pPr>
        <w:rPr>
          <w:rFonts w:hint="eastAsia"/>
          <w:b/>
          <w:bCs/>
          <w:sz w:val="24"/>
          <w:szCs w:val="24"/>
        </w:rPr>
      </w:pPr>
      <w:r>
        <w:rPr>
          <w:rFonts w:hint="eastAsia"/>
          <w:b/>
          <w:bCs/>
          <w:sz w:val="24"/>
          <w:szCs w:val="24"/>
        </w:rPr>
        <w:t>化学工程</w:t>
      </w:r>
    </w:p>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一、报考说明：统考生。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在具有坚实化学基本理论的基础上，强化工程意识和训练，对化学与化工实验技能、工程实践、计算机应用、工程设计方法的基本训练．具有对相关企业的生产过程进行模拟优化、技术改造，对新过程进行开发设计和对新产品进行研制的基本能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4" w:type="dxa"/>
        <w:tblCellSpacing w:w="7" w:type="dxa"/>
        <w:tblInd w:w="0" w:type="dxa"/>
        <w:shd w:val="clear" w:color="auto" w:fill="FFFFFF"/>
        <w:tblLayout w:type="fixed"/>
        <w:tblCellMar>
          <w:top w:w="0" w:type="dxa"/>
          <w:left w:w="0" w:type="dxa"/>
          <w:bottom w:w="0" w:type="dxa"/>
          <w:right w:w="0" w:type="dxa"/>
        </w:tblCellMar>
      </w:tblPr>
      <w:tblGrid>
        <w:gridCol w:w="4242"/>
        <w:gridCol w:w="4242"/>
      </w:tblGrid>
      <w:tr>
        <w:tblPrEx>
          <w:tblLayout w:type="fixed"/>
          <w:tblCellMar>
            <w:top w:w="0" w:type="dxa"/>
            <w:left w:w="0" w:type="dxa"/>
            <w:bottom w:w="0" w:type="dxa"/>
            <w:right w:w="0" w:type="dxa"/>
          </w:tblCellMar>
        </w:tblPrEx>
        <w:trPr>
          <w:tblCellSpacing w:w="7" w:type="dxa"/>
        </w:trPr>
        <w:tc>
          <w:tcPr>
            <w:tcW w:w="422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4"/>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4221"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4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1、纳米药物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2、纳米材料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3、纳米能源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4、纳米催化</w:t>
            </w:r>
          </w:p>
        </w:tc>
        <w:tc>
          <w:tcPr>
            <w:tcW w:w="4221"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846综合化学</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四、复试形式：笔试+面试。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笔试：主要考核考生个性心理特征、诚信状况、意志品质等。本部分成绩为“通过/不通过”，只有“通过”考生方可录取。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面试：英语+专业知识。以考察基础知识和综合应用知识能力为主。</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：满分100分。初试成绩不计政治，复试成绩占比50%。即：最终成绩=（初试成绩【不计政治】÷4+复试成绩）÷2。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4"/>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：共计3万元，第一、二学年初各缴1.5万元。</w:t>
      </w:r>
    </w:p>
    <w:p>
      <w:pPr>
        <w:rPr>
          <w:rFonts w:hint="eastAsia" w:ascii="宋体" w:hAnsi="宋体" w:eastAsia="宋体" w:cs="宋体"/>
          <w:b/>
          <w:i w:val="0"/>
          <w:caps w:val="0"/>
          <w:color w:val="666666"/>
          <w:spacing w:val="0"/>
          <w:sz w:val="18"/>
          <w:szCs w:val="18"/>
          <w:shd w:val="clear" w:fill="DEF1F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205FA"/>
    <w:rsid w:val="676205F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2018-09-15T08:23:00Z</dcterms:created>
  <dc:creator>Zlh</dc:creator>
  <cp:lastModifiedBy>Zlh</cp:lastModifiedBy>
  <dcterms:modified xsi:type="dcterms:W3CDTF">2018-09-15T08:25:23Z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