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w:t>
      </w:r>
      <w:r>
        <w:rPr>
          <w:rFonts w:hint="eastAsia" w:ascii="宋体" w:hAnsi="宋体" w:eastAsia="宋体" w:cs="宋体"/>
          <w:b/>
          <w:bCs/>
          <w:sz w:val="24"/>
          <w:szCs w:val="24"/>
          <w:lang w:val="en-US" w:eastAsia="zh-CN"/>
        </w:rPr>
        <w:t>学</w:t>
      </w:r>
      <w:r>
        <w:rPr>
          <w:rFonts w:hint="eastAsia" w:ascii="宋体" w:hAnsi="宋体" w:eastAsia="宋体" w:cs="宋体"/>
          <w:b/>
          <w:bCs/>
          <w:sz w:val="24"/>
          <w:szCs w:val="24"/>
        </w:rPr>
        <w:t>网络空间安全学院</w:t>
      </w:r>
      <w:r>
        <w:rPr>
          <w:rFonts w:hint="eastAsia" w:ascii="宋体" w:hAnsi="宋体" w:eastAsia="宋体" w:cs="宋体"/>
          <w:b/>
          <w:bCs/>
          <w:sz w:val="24"/>
          <w:szCs w:val="24"/>
          <w:lang w:val="en-US" w:eastAsia="zh-CN"/>
        </w:rPr>
        <w:t>硕士</w:t>
      </w:r>
      <w:r>
        <w:rPr>
          <w:rFonts w:hint="eastAsia" w:ascii="宋体" w:hAnsi="宋体" w:eastAsia="宋体" w:cs="宋体"/>
          <w:b/>
          <w:bCs/>
          <w:sz w:val="24"/>
          <w:szCs w:val="24"/>
          <w:lang w:val="en-US" w:eastAsia="zh-CN"/>
        </w:rPr>
        <w:t>研究生招生简章与目录</w:t>
      </w:r>
    </w:p>
    <w:bookmarkEnd w:id="0"/>
    <w:p>
      <w:pPr>
        <w:rPr>
          <w:rFonts w:hint="eastAsia"/>
          <w:b/>
          <w:bCs/>
          <w:sz w:val="24"/>
          <w:szCs w:val="24"/>
        </w:rPr>
      </w:pPr>
    </w:p>
    <w:p>
      <w:pPr>
        <w:rPr>
          <w:rFonts w:hint="eastAsia"/>
          <w:b/>
          <w:bCs/>
          <w:sz w:val="24"/>
          <w:szCs w:val="24"/>
        </w:rPr>
      </w:pPr>
      <w:r>
        <w:rPr>
          <w:rFonts w:hint="eastAsia"/>
          <w:b/>
          <w:bCs/>
          <w:sz w:val="24"/>
          <w:szCs w:val="24"/>
        </w:rPr>
        <w:t>网络空间安全</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网络空间安全一级学科（0839）依托数学、物理、信息与通信工程、计算机科学与技术四个一级学科，培养适应我国网络空间安全领域发展需求的研究型、复合型高层次技术和管理人才的学术型学位硕士。通过培养达到了解本领域的技术现状和发展趋势，掌握本领域的基础理论和解决实际问题的先进技术方法与现代技术手段，在本领域的某一方向具有独立从事科学研究、工程研究、工程开发、工程管理等能力。毕业生主要去向有国内外IT行业的知名企业、国家重点科研机构或企事业单位、出国继续深造和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089"/>
        <w:gridCol w:w="5860"/>
      </w:tblGrid>
      <w:tr>
        <w:tblPrEx>
          <w:shd w:val="clear" w:color="auto" w:fill="CCCCCC"/>
          <w:tblLayout w:type="fixed"/>
          <w:tblCellMar>
            <w:top w:w="0" w:type="dxa"/>
            <w:left w:w="0" w:type="dxa"/>
            <w:bottom w:w="0" w:type="dxa"/>
            <w:right w:w="0" w:type="dxa"/>
          </w:tblCellMar>
        </w:tblPrEx>
        <w:trPr>
          <w:tblCellSpacing w:w="7" w:type="dxa"/>
        </w:trPr>
        <w:tc>
          <w:tcPr>
            <w:tcW w:w="506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83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0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1、密码学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2、网络安全与应用安全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3、计算机系统安全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4、量子信息安全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5、组合网络</w:t>
            </w:r>
          </w:p>
        </w:tc>
        <w:tc>
          <w:tcPr>
            <w:tcW w:w="58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857 密码学与网络安全</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面试：内容包括考察学生的思想道德品质、个性心理特征、英语听说能力、专业基础和专业修养、综合素质、发展潜力、解决实际问题能力和科研能力的评估等。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：按最终成绩由高到低排序，确定进入导师与考生“双向选择”的人选。根据“双向选择”结果，提出拟录取名单报批。为保证招生质量，报批人数可小于招生计划。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874BE"/>
    <w:rsid w:val="2F9874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2018-09-15T08:54:00Z</dcterms:created>
  <dc:creator>Zlh</dc:creator>
  <cp:lastModifiedBy>Zlh</cp:lastModifiedBy>
  <dcterms:modified xsi:type="dcterms:W3CDTF">2018-09-15T08:56:44Z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