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"https://yz.ustc.edu.cn/sszs_2019/index.shtml"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公共事务</w:t>
      </w:r>
      <w:r>
        <w:rPr>
          <w:rFonts w:hint="eastAsia" w:ascii="宋体" w:hAnsi="宋体" w:eastAsia="宋体" w:cs="宋体"/>
          <w:b/>
          <w:bCs/>
          <w:sz w:val="24"/>
          <w:szCs w:val="24"/>
        </w:rPr>
        <w:t>学院</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硕士研究生招生简章与目录</w:t>
      </w:r>
    </w:p>
    <w:bookmarkEnd w:id="0"/>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公共管理（MPA 非全日制）</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一、报考条件</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报考条件执行国家有关规定,其中工作年限要求为：国民教育序列博士、硕士毕业后工作2年及以上，本科毕业后工作3年及以上，专科毕业后工作5年及以上。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中国科大是首批获得MPA教育办学权的24所试点院校之一。至今已累计招生2900多名。中国科大着力打造国内一流的MPA品牌，实施了“十百千万”工程，全面提高学员的综合能力；启动“海外研修计划”，开阔学员国际视野。良好的学术氛围、严格的教学环节管理、丰富的校友资源，使我校MPA在国内独树一帜。2006年11月以“优秀”通过国务院学位办组织的“全国首批MPA培养院校MPA教学合格评估”。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中国科大MPA教育秉持积极为我国经济、政治和社会发展服务的宗旨，在培养优秀通用型公共管理人才的同时，积极探索“面向行业、定向培养”的模式，紧盯我国经济、政治、文化和社会发展现实需要，开办订单式的行业MPA、部门MPA、企事业MPA，为各行业培养理念新、视野广、能力强的高级应用型人才。 </w:t>
      </w:r>
    </w:p>
    <w:p>
      <w:pPr>
        <w:pStyle w:val="2"/>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shd w:val="clear" w:fill="FFFFFF"/>
        </w:rPr>
        <w:t>三、培养方式和学制</w:t>
      </w:r>
      <w:r>
        <w:rPr>
          <w:rFonts w:hint="eastAsia" w:ascii="宋体" w:hAnsi="宋体" w:eastAsia="宋体" w:cs="宋体"/>
          <w:i w:val="0"/>
          <w:caps w:val="0"/>
          <w:color w:val="575757"/>
          <w:spacing w:val="0"/>
          <w:sz w:val="18"/>
          <w:szCs w:val="18"/>
          <w:shd w:val="clear" w:fill="FFFFFF"/>
        </w:rPr>
        <w:t>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培养方式：非全日制在职培养。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学制：学制3年；最长修业年限为5年。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四、研究方向及初试科目</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4199"/>
        <w:gridCol w:w="4284"/>
      </w:tblGrid>
      <w:tr>
        <w:tblPrEx>
          <w:shd w:val="clear" w:color="auto" w:fill="CCCCCC"/>
          <w:tblLayout w:type="fixed"/>
          <w:tblCellMar>
            <w:top w:w="0" w:type="dxa"/>
            <w:left w:w="0" w:type="dxa"/>
            <w:bottom w:w="0" w:type="dxa"/>
            <w:right w:w="0" w:type="dxa"/>
          </w:tblCellMar>
        </w:tblPrEx>
        <w:trPr>
          <w:tblCellSpacing w:w="7" w:type="dxa"/>
        </w:trPr>
        <w:tc>
          <w:tcPr>
            <w:tcW w:w="417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研究方向</w:t>
            </w:r>
          </w:p>
        </w:tc>
        <w:tc>
          <w:tcPr>
            <w:tcW w:w="426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4178" w:type="dxa"/>
            <w:shd w:val="clear" w:color="auto" w:fill="EEF8FD"/>
            <w:tcMar>
              <w:top w:w="225" w:type="dxa"/>
              <w:left w:w="75" w:type="dxa"/>
              <w:bottom w:w="225" w:type="dxa"/>
              <w:right w:w="75"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575757"/>
                <w:spacing w:val="0"/>
                <w:sz w:val="18"/>
                <w:szCs w:val="18"/>
                <w:u w:val="none"/>
                <w:bdr w:val="none" w:color="auto" w:sz="0" w:space="0"/>
              </w:rPr>
              <w:t>1、公共事务管理 </w:t>
            </w:r>
            <w:r>
              <w:rPr>
                <w:rFonts w:hint="eastAsia" w:ascii="宋体" w:hAnsi="宋体" w:eastAsia="宋体" w:cs="宋体"/>
                <w:b w:val="0"/>
                <w:i w:val="0"/>
                <w:caps w:val="0"/>
                <w:color w:val="575757"/>
                <w:spacing w:val="0"/>
                <w:sz w:val="18"/>
                <w:szCs w:val="18"/>
                <w:u w:val="none"/>
                <w:bdr w:val="none" w:color="auto" w:sz="0" w:space="0"/>
              </w:rPr>
              <w:br w:type="textWrapping"/>
            </w:r>
            <w:r>
              <w:rPr>
                <w:rFonts w:hint="eastAsia" w:ascii="宋体" w:hAnsi="宋体" w:eastAsia="宋体" w:cs="宋体"/>
                <w:b w:val="0"/>
                <w:i w:val="0"/>
                <w:caps w:val="0"/>
                <w:color w:val="575757"/>
                <w:spacing w:val="0"/>
                <w:sz w:val="18"/>
                <w:szCs w:val="18"/>
                <w:u w:val="none"/>
                <w:bdr w:val="none" w:color="auto" w:sz="0" w:space="0"/>
              </w:rPr>
              <w:t>2、公共经济管理 </w:t>
            </w:r>
            <w:r>
              <w:rPr>
                <w:rFonts w:hint="eastAsia" w:ascii="宋体" w:hAnsi="宋体" w:eastAsia="宋体" w:cs="宋体"/>
                <w:b w:val="0"/>
                <w:i w:val="0"/>
                <w:caps w:val="0"/>
                <w:color w:val="575757"/>
                <w:spacing w:val="0"/>
                <w:sz w:val="18"/>
                <w:szCs w:val="18"/>
                <w:u w:val="none"/>
                <w:bdr w:val="none" w:color="auto" w:sz="0" w:space="0"/>
              </w:rPr>
              <w:br w:type="textWrapping"/>
            </w:r>
            <w:r>
              <w:rPr>
                <w:rFonts w:hint="eastAsia" w:ascii="宋体" w:hAnsi="宋体" w:eastAsia="宋体" w:cs="宋体"/>
                <w:b w:val="0"/>
                <w:i w:val="0"/>
                <w:caps w:val="0"/>
                <w:color w:val="575757"/>
                <w:spacing w:val="0"/>
                <w:sz w:val="18"/>
                <w:szCs w:val="18"/>
                <w:u w:val="none"/>
                <w:bdr w:val="none" w:color="auto" w:sz="0" w:space="0"/>
              </w:rPr>
              <w:t>3、知识产权政策与管理 </w:t>
            </w:r>
            <w:r>
              <w:rPr>
                <w:rFonts w:hint="eastAsia" w:ascii="宋体" w:hAnsi="宋体" w:eastAsia="宋体" w:cs="宋体"/>
                <w:b w:val="0"/>
                <w:i w:val="0"/>
                <w:caps w:val="0"/>
                <w:color w:val="575757"/>
                <w:spacing w:val="0"/>
                <w:sz w:val="18"/>
                <w:szCs w:val="18"/>
                <w:u w:val="none"/>
                <w:bdr w:val="none" w:color="auto" w:sz="0" w:space="0"/>
              </w:rPr>
              <w:br w:type="textWrapping"/>
            </w:r>
            <w:r>
              <w:rPr>
                <w:rFonts w:hint="eastAsia" w:ascii="宋体" w:hAnsi="宋体" w:eastAsia="宋体" w:cs="宋体"/>
                <w:b w:val="0"/>
                <w:i w:val="0"/>
                <w:caps w:val="0"/>
                <w:color w:val="575757"/>
                <w:spacing w:val="0"/>
                <w:sz w:val="18"/>
                <w:szCs w:val="18"/>
                <w:u w:val="none"/>
                <w:bdr w:val="none" w:color="auto" w:sz="0" w:space="0"/>
              </w:rPr>
              <w:t>4、科技政策与管理 </w:t>
            </w:r>
            <w:r>
              <w:rPr>
                <w:rFonts w:hint="eastAsia" w:ascii="宋体" w:hAnsi="宋体" w:eastAsia="宋体" w:cs="宋体"/>
                <w:b w:val="0"/>
                <w:i w:val="0"/>
                <w:caps w:val="0"/>
                <w:color w:val="575757"/>
                <w:spacing w:val="0"/>
                <w:sz w:val="18"/>
                <w:szCs w:val="18"/>
                <w:u w:val="none"/>
                <w:bdr w:val="none" w:color="auto" w:sz="0" w:space="0"/>
              </w:rPr>
              <w:br w:type="textWrapping"/>
            </w:r>
            <w:r>
              <w:rPr>
                <w:rFonts w:hint="eastAsia" w:ascii="宋体" w:hAnsi="宋体" w:eastAsia="宋体" w:cs="宋体"/>
                <w:b w:val="0"/>
                <w:i w:val="0"/>
                <w:caps w:val="0"/>
                <w:color w:val="575757"/>
                <w:spacing w:val="0"/>
                <w:sz w:val="18"/>
                <w:szCs w:val="18"/>
                <w:u w:val="none"/>
                <w:bdr w:val="none" w:color="auto" w:sz="0" w:space="0"/>
              </w:rPr>
              <w:t>5、社会医学与卫生事业管理</w:t>
            </w:r>
          </w:p>
        </w:tc>
        <w:tc>
          <w:tcPr>
            <w:tcW w:w="4263" w:type="dxa"/>
            <w:shd w:val="clear" w:color="auto" w:fill="EEF8FD"/>
            <w:tcMar>
              <w:top w:w="225" w:type="dxa"/>
              <w:left w:w="75" w:type="dxa"/>
              <w:bottom w:w="225" w:type="dxa"/>
              <w:right w:w="75"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575757"/>
                <w:spacing w:val="0"/>
                <w:sz w:val="18"/>
                <w:szCs w:val="18"/>
                <w:u w:val="none"/>
                <w:bdr w:val="none" w:color="auto" w:sz="0" w:space="0"/>
              </w:rPr>
              <w:t>全国MPA联考： </w:t>
            </w:r>
            <w:r>
              <w:rPr>
                <w:rFonts w:hint="eastAsia" w:ascii="宋体" w:hAnsi="宋体" w:eastAsia="宋体" w:cs="宋体"/>
                <w:b w:val="0"/>
                <w:i w:val="0"/>
                <w:caps w:val="0"/>
                <w:color w:val="575757"/>
                <w:spacing w:val="0"/>
                <w:sz w:val="18"/>
                <w:szCs w:val="18"/>
                <w:u w:val="none"/>
                <w:bdr w:val="none" w:color="auto" w:sz="0" w:space="0"/>
              </w:rPr>
              <w:br w:type="textWrapping"/>
            </w:r>
            <w:r>
              <w:rPr>
                <w:rFonts w:hint="eastAsia" w:ascii="宋体" w:hAnsi="宋体" w:eastAsia="宋体" w:cs="宋体"/>
                <w:b w:val="0"/>
                <w:i w:val="0"/>
                <w:caps w:val="0"/>
                <w:color w:val="575757"/>
                <w:spacing w:val="0"/>
                <w:sz w:val="18"/>
                <w:szCs w:val="18"/>
                <w:u w:val="none"/>
                <w:bdr w:val="none" w:color="auto" w:sz="0" w:space="0"/>
              </w:rPr>
              <w:t>199管理类联考综合能力 </w:t>
            </w:r>
            <w:r>
              <w:rPr>
                <w:rFonts w:hint="eastAsia" w:ascii="宋体" w:hAnsi="宋体" w:eastAsia="宋体" w:cs="宋体"/>
                <w:b w:val="0"/>
                <w:i w:val="0"/>
                <w:caps w:val="0"/>
                <w:color w:val="575757"/>
                <w:spacing w:val="0"/>
                <w:sz w:val="18"/>
                <w:szCs w:val="18"/>
                <w:u w:val="none"/>
                <w:bdr w:val="none" w:color="auto" w:sz="0" w:space="0"/>
              </w:rPr>
              <w:br w:type="textWrapping"/>
            </w:r>
            <w:r>
              <w:rPr>
                <w:rFonts w:hint="eastAsia" w:ascii="宋体" w:hAnsi="宋体" w:eastAsia="宋体" w:cs="宋体"/>
                <w:b w:val="0"/>
                <w:i w:val="0"/>
                <w:caps w:val="0"/>
                <w:color w:val="575757"/>
                <w:spacing w:val="0"/>
                <w:sz w:val="18"/>
                <w:szCs w:val="18"/>
                <w:u w:val="none"/>
                <w:bdr w:val="none" w:color="auto" w:sz="0" w:space="0"/>
              </w:rPr>
              <w:t>204英语二</w:t>
            </w:r>
          </w:p>
        </w:tc>
      </w:tr>
    </w:tbl>
    <w:p>
      <w:pPr>
        <w:pStyle w:val="2"/>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shd w:val="clear" w:fill="FFFFFF"/>
        </w:rPr>
        <w:t>五、复试</w:t>
      </w:r>
      <w:r>
        <w:rPr>
          <w:rFonts w:hint="eastAsia" w:ascii="宋体" w:hAnsi="宋体" w:eastAsia="宋体" w:cs="宋体"/>
          <w:i w:val="0"/>
          <w:caps w:val="0"/>
          <w:color w:val="575757"/>
          <w:spacing w:val="0"/>
          <w:sz w:val="18"/>
          <w:szCs w:val="18"/>
          <w:shd w:val="clear" w:fill="FFFFFF"/>
        </w:rPr>
        <w:t>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1、复试批次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包括提前批次和正常批次。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2、复试形式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综合面试。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3、复试内容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包括政治理论及其运用能力、英语应用能力、专业及综合能力。英语主要考查考生的听、说、译能力；政治和专业及综合能力主要考查考生对相关基本理论的理解能力、表达能力、逻辑思维能力、分析与解决问题能力及应变能力。考核范围为基本理论、近年来的社会热点问题和国内外大事。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4、复试成绩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满分100分。复试成绩不合格者，不予录取。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六、最终成绩</w:t>
      </w:r>
      <w:r>
        <w:rPr>
          <w:rFonts w:hint="eastAsia" w:ascii="宋体" w:hAnsi="宋体" w:eastAsia="宋体" w:cs="宋体"/>
          <w:i w:val="0"/>
          <w:caps w:val="0"/>
          <w:color w:val="575757"/>
          <w:spacing w:val="0"/>
          <w:sz w:val="18"/>
          <w:szCs w:val="18"/>
          <w:shd w:val="clear" w:fill="FFFFFF"/>
        </w:rPr>
        <w:t>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满分100分，计算公式为：（初试成绩÷3+复试成绩）÷2。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七、录取</w:t>
      </w:r>
      <w:r>
        <w:rPr>
          <w:rFonts w:hint="eastAsia" w:ascii="宋体" w:hAnsi="宋体" w:eastAsia="宋体" w:cs="宋体"/>
          <w:i w:val="0"/>
          <w:caps w:val="0"/>
          <w:color w:val="575757"/>
          <w:spacing w:val="0"/>
          <w:sz w:val="18"/>
          <w:szCs w:val="18"/>
          <w:shd w:val="clear" w:fill="FFFFFF"/>
        </w:rPr>
        <w:t>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提前批次：取得条件录取资格且初试成绩达到国家A类线的考生，按最终成绩由高到低排序，提出拟录取名单报批；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正常批次：按最终成绩由高到低排序，提出拟录取名单报批。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为保证招生质量，报批人数可小于招生计划。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八、调剂</w:t>
      </w:r>
      <w:r>
        <w:rPr>
          <w:rFonts w:hint="eastAsia" w:ascii="宋体" w:hAnsi="宋体" w:eastAsia="宋体" w:cs="宋体"/>
          <w:i w:val="0"/>
          <w:caps w:val="0"/>
          <w:color w:val="575757"/>
          <w:spacing w:val="0"/>
          <w:sz w:val="18"/>
          <w:szCs w:val="18"/>
          <w:shd w:val="clear" w:fill="FFFFFF"/>
        </w:rPr>
        <w:t>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本专业在生源不足的情况下接受调剂。调剂信息将于复试阶段在中国科大研究生招生在线网站（http://yz.ustc.edu.cn）发布。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九、学费标准</w:t>
      </w:r>
      <w:r>
        <w:rPr>
          <w:rFonts w:hint="eastAsia" w:ascii="宋体" w:hAnsi="宋体" w:eastAsia="宋体" w:cs="宋体"/>
          <w:i w:val="0"/>
          <w:caps w:val="0"/>
          <w:color w:val="575757"/>
          <w:spacing w:val="0"/>
          <w:sz w:val="18"/>
          <w:szCs w:val="18"/>
          <w:shd w:val="clear" w:fill="FFFFFF"/>
        </w:rPr>
        <w:t>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学费总额为人民币70000元/生，分两次缴纳，第一学年开学前和第二学年开学前各缴纳总学费的1/2。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十、其他</w:t>
      </w:r>
      <w:r>
        <w:rPr>
          <w:rFonts w:hint="eastAsia" w:ascii="宋体" w:hAnsi="宋体" w:eastAsia="宋体" w:cs="宋体"/>
          <w:i w:val="0"/>
          <w:caps w:val="0"/>
          <w:color w:val="575757"/>
          <w:spacing w:val="0"/>
          <w:sz w:val="18"/>
          <w:szCs w:val="18"/>
          <w:shd w:val="clear" w:fill="FFFFFF"/>
        </w:rPr>
        <w:t>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更多详细内容，请登录中国科学技术大学MPA教育中心网站（</w:t>
      </w:r>
      <w:r>
        <w:rPr>
          <w:rFonts w:hint="eastAsia" w:ascii="宋体" w:hAnsi="宋体" w:eastAsia="宋体" w:cs="宋体"/>
          <w:b w:val="0"/>
          <w:i w:val="0"/>
          <w:caps w:val="0"/>
          <w:spacing w:val="0"/>
          <w:sz w:val="18"/>
          <w:szCs w:val="18"/>
          <w:shd w:val="clear" w:fill="FFFFFF"/>
        </w:rPr>
        <w:fldChar w:fldCharType="begin"/>
      </w:r>
      <w:r>
        <w:rPr>
          <w:rFonts w:hint="eastAsia" w:ascii="宋体" w:hAnsi="宋体" w:eastAsia="宋体" w:cs="宋体"/>
          <w:b w:val="0"/>
          <w:i w:val="0"/>
          <w:caps w:val="0"/>
          <w:spacing w:val="0"/>
          <w:sz w:val="18"/>
          <w:szCs w:val="18"/>
          <w:shd w:val="clear" w:fill="FFFFFF"/>
        </w:rPr>
        <w:instrText xml:space="preserve"> HYPERLINK "http://ustc-mpa.ustc.edu.cn/" </w:instrText>
      </w:r>
      <w:r>
        <w:rPr>
          <w:rFonts w:hint="eastAsia" w:ascii="宋体" w:hAnsi="宋体" w:eastAsia="宋体" w:cs="宋体"/>
          <w:b w:val="0"/>
          <w:i w:val="0"/>
          <w:caps w:val="0"/>
          <w:spacing w:val="0"/>
          <w:sz w:val="18"/>
          <w:szCs w:val="18"/>
          <w:shd w:val="clear" w:fill="FFFFFF"/>
        </w:rPr>
        <w:fldChar w:fldCharType="separate"/>
      </w:r>
      <w:r>
        <w:rPr>
          <w:rStyle w:val="5"/>
          <w:rFonts w:hint="eastAsia" w:ascii="宋体" w:hAnsi="宋体" w:eastAsia="宋体" w:cs="宋体"/>
          <w:b w:val="0"/>
          <w:i w:val="0"/>
          <w:caps w:val="0"/>
          <w:spacing w:val="0"/>
          <w:sz w:val="18"/>
          <w:szCs w:val="18"/>
          <w:shd w:val="clear" w:fill="FFFFFF"/>
        </w:rPr>
        <w:t>http://ustc-mpa.ustc.edu.cn</w:t>
      </w:r>
      <w:r>
        <w:rPr>
          <w:rFonts w:hint="eastAsia" w:ascii="宋体" w:hAnsi="宋体" w:eastAsia="宋体" w:cs="宋体"/>
          <w:b w:val="0"/>
          <w:i w:val="0"/>
          <w:caps w:val="0"/>
          <w:spacing w:val="0"/>
          <w:sz w:val="18"/>
          <w:szCs w:val="18"/>
          <w:shd w:val="clear" w:fill="FFFFFF"/>
        </w:rPr>
        <w:fldChar w:fldCharType="end"/>
      </w:r>
      <w:r>
        <w:rPr>
          <w:rFonts w:hint="eastAsia" w:ascii="宋体" w:hAnsi="宋体" w:eastAsia="宋体" w:cs="宋体"/>
          <w:b w:val="0"/>
          <w:i w:val="0"/>
          <w:caps w:val="0"/>
          <w:color w:val="575757"/>
          <w:spacing w:val="0"/>
          <w:sz w:val="18"/>
          <w:szCs w:val="18"/>
          <w:shd w:val="clear" w:fill="FFFFFF"/>
        </w:rPr>
        <w:t>）查阅，并认真研读。</w:t>
      </w:r>
    </w:p>
    <w:p>
      <w:pPr>
        <w:rPr>
          <w:rFonts w:hint="eastAsia" w:ascii="宋体" w:hAnsi="宋体" w:eastAsia="宋体" w:cs="宋体"/>
          <w:b/>
          <w:i w:val="0"/>
          <w:caps w:val="0"/>
          <w:color w:val="666666"/>
          <w:spacing w:val="0"/>
          <w:sz w:val="18"/>
          <w:szCs w:val="18"/>
          <w:shd w:val="clear" w:fill="DEF1FB"/>
        </w:rPr>
      </w:pPr>
    </w:p>
    <w:p>
      <w:pPr>
        <w:rPr>
          <w:rFonts w:hint="eastAsia" w:ascii="宋体" w:hAnsi="宋体" w:eastAsia="宋体" w:cs="宋体"/>
          <w:b/>
          <w:bCs/>
          <w:sz w:val="24"/>
          <w:szCs w:val="24"/>
        </w:rPr>
      </w:pPr>
      <w:r>
        <w:rPr>
          <w:rFonts w:hint="eastAsia" w:ascii="宋体" w:hAnsi="宋体" w:eastAsia="宋体" w:cs="宋体"/>
          <w:b/>
          <w:bCs/>
          <w:sz w:val="24"/>
          <w:szCs w:val="24"/>
        </w:rPr>
        <w:t>法律（非法学）</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接收推免生及报考生。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中国科学技术大学法律硕士教育秉承特色鲜明、规模适度、包容开放、质量至上的办学理念，重点培养知识产权法、民商法、经济法等领域的高层次、复合型、应用型人才。学生毕业后，既可从事专门的司法和执法工作，也可以到政府部门、企事业单位及相关的法律服务机构从事与法律专业相关的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3687"/>
        <w:gridCol w:w="4796"/>
      </w:tblGrid>
      <w:tr>
        <w:tblPrEx>
          <w:shd w:val="clear" w:color="auto" w:fill="CCCCCC"/>
          <w:tblLayout w:type="fixed"/>
          <w:tblCellMar>
            <w:top w:w="0" w:type="dxa"/>
            <w:left w:w="0" w:type="dxa"/>
            <w:bottom w:w="0" w:type="dxa"/>
            <w:right w:w="0" w:type="dxa"/>
          </w:tblCellMar>
        </w:tblPrEx>
        <w:trPr>
          <w:tblCellSpacing w:w="7" w:type="dxa"/>
        </w:trPr>
        <w:tc>
          <w:tcPr>
            <w:tcW w:w="3666"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77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366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1、知识产权法</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2、民商法</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3、经济法</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4、行政法</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5、社会法</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6、国际经济法</w:t>
            </w:r>
          </w:p>
        </w:tc>
        <w:tc>
          <w:tcPr>
            <w:tcW w:w="477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398法硕联考专业基础（非法学）</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498法硕联考综合（非法学）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笔试包括民法（满分100分）和刑法（满分100分）两个部分。考试内容为全国法律硕士联考考试大纲规定的范围。同等学力考生还需要加试两门法律本科主干科目，每门满分100分。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面试包括专业基本素质考核（满分50分）与英语考核（满分50分）。专业基本素质考核主要考查学生的分析能力和表达能力；英语考核主要考查学生的英语听说能力。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：满分100分。笔试满分200分、面试满分100分。复试成绩=（笔试成绩+面试成绩）÷3。复试成绩不合格者，不予录取。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：满分100分。初试成绩不计政治，复试成绩占比3/7。最终成绩=（初试成绩【不计政治】+复试成绩×3）÷7。</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：共计3.6万元，第一、二、三学年初各缴1.2万元。</w:t>
      </w:r>
    </w:p>
    <w:p>
      <w:pPr>
        <w:rPr>
          <w:rFonts w:hint="eastAsia" w:ascii="宋体" w:hAnsi="宋体" w:eastAsia="宋体" w:cs="宋体"/>
          <w:b/>
          <w:i w:val="0"/>
          <w:caps w:val="0"/>
          <w:color w:val="666666"/>
          <w:spacing w:val="0"/>
          <w:sz w:val="18"/>
          <w:szCs w:val="18"/>
          <w:shd w:val="clear" w:fill="DEF1FB"/>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法学</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接收推免生和报考生。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本专业立足于社会主义市场经济建设和法治社会建设的需要，培养具有社会主义法治理念，德才兼备，能够独立从事科研、教学和实务工作的高层次、复合型专门人才。 </w:t>
      </w:r>
    </w:p>
    <w:p>
      <w:pPr>
        <w:pStyle w:val="2"/>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shd w:val="clear" w:fill="FFFFFF"/>
        </w:rPr>
        <w:t>三、研究方向及初试科目：</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4114"/>
        <w:gridCol w:w="4369"/>
      </w:tblGrid>
      <w:tr>
        <w:tblPrEx>
          <w:shd w:val="clear" w:color="auto" w:fill="CCCCCC"/>
          <w:tblLayout w:type="fixed"/>
          <w:tblCellMar>
            <w:top w:w="0" w:type="dxa"/>
            <w:left w:w="0" w:type="dxa"/>
            <w:bottom w:w="0" w:type="dxa"/>
            <w:right w:w="0" w:type="dxa"/>
          </w:tblCellMar>
        </w:tblPrEx>
        <w:trPr>
          <w:tblCellSpacing w:w="7" w:type="dxa"/>
        </w:trPr>
        <w:tc>
          <w:tcPr>
            <w:tcW w:w="4093"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34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4093"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1、知识产权法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2、科技法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3、民商法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4、社会法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5、经济法</w:t>
            </w:r>
          </w:p>
        </w:tc>
        <w:tc>
          <w:tcPr>
            <w:tcW w:w="4348" w:type="dxa"/>
            <w:shd w:val="clear" w:color="auto" w:fill="EEF8FD"/>
            <w:tcMar>
              <w:top w:w="75" w:type="dxa"/>
              <w:left w:w="150" w:type="dxa"/>
              <w:bottom w:w="75" w:type="dxa"/>
              <w:right w:w="150" w:type="dxa"/>
            </w:tcMar>
            <w:vAlign w:val="top"/>
          </w:tcPr>
          <w:p>
            <w:pPr>
              <w:pStyle w:val="2"/>
              <w:keepNext w:val="0"/>
              <w:keepLines w:val="0"/>
              <w:widowControl/>
              <w:suppressLineNumbers w:val="0"/>
              <w:spacing w:line="330" w:lineRule="atLeast"/>
              <w:jc w:val="left"/>
            </w:pPr>
            <w:r>
              <w:rPr>
                <w:rFonts w:hint="eastAsia" w:ascii="宋体" w:hAnsi="宋体" w:eastAsia="宋体" w:cs="宋体"/>
                <w:b w:val="0"/>
                <w:i w:val="0"/>
                <w:caps w:val="0"/>
                <w:color w:val="003399"/>
                <w:spacing w:val="0"/>
                <w:sz w:val="18"/>
                <w:szCs w:val="18"/>
                <w:u w:val="none"/>
                <w:bdr w:val="none" w:color="auto" w:sz="0" w:space="0"/>
              </w:rPr>
              <w:t>101思想政治理论</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201英语一</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629法理学和宪法学 </w:t>
            </w:r>
            <w:r>
              <w:rPr>
                <w:rFonts w:hint="eastAsia" w:ascii="宋体" w:hAnsi="宋体" w:eastAsia="宋体" w:cs="宋体"/>
                <w:b w:val="0"/>
                <w:i w:val="0"/>
                <w:caps w:val="0"/>
                <w:color w:val="003399"/>
                <w:spacing w:val="0"/>
                <w:sz w:val="18"/>
                <w:szCs w:val="18"/>
                <w:u w:val="none"/>
                <w:bdr w:val="none" w:color="auto" w:sz="0" w:space="0"/>
              </w:rPr>
              <w:br w:type="textWrapping"/>
            </w:r>
            <w:r>
              <w:rPr>
                <w:rFonts w:hint="eastAsia" w:ascii="宋体" w:hAnsi="宋体" w:eastAsia="宋体" w:cs="宋体"/>
                <w:b w:val="0"/>
                <w:i w:val="0"/>
                <w:caps w:val="0"/>
                <w:color w:val="003399"/>
                <w:spacing w:val="0"/>
                <w:sz w:val="18"/>
                <w:szCs w:val="18"/>
                <w:u w:val="none"/>
                <w:bdr w:val="none" w:color="auto" w:sz="0" w:space="0"/>
              </w:rPr>
              <w:t>859民法学和经济法学</w:t>
            </w:r>
          </w:p>
        </w:tc>
      </w:tr>
    </w:tbl>
    <w:p>
      <w:pPr>
        <w:pStyle w:val="2"/>
        <w:keepNext w:val="0"/>
        <w:keepLines w:val="0"/>
        <w:widowControl/>
        <w:suppressLineNumbers w:val="0"/>
        <w:shd w:val="clear" w:fill="FFFFFF"/>
        <w:ind w:left="0" w:firstLine="0"/>
        <w:rPr>
          <w:rFonts w:hint="eastAsia" w:ascii="宋体" w:hAnsi="宋体" w:eastAsia="宋体" w:cs="宋体"/>
          <w:b w:val="0"/>
          <w:i w:val="0"/>
          <w:caps w:val="0"/>
          <w:color w:val="575757"/>
          <w:spacing w:val="0"/>
          <w:sz w:val="18"/>
          <w:szCs w:val="18"/>
        </w:rPr>
      </w:pPr>
      <w:r>
        <w:rPr>
          <w:rStyle w:val="4"/>
          <w:rFonts w:hint="eastAsia" w:ascii="宋体" w:hAnsi="宋体" w:eastAsia="宋体" w:cs="宋体"/>
          <w:i w:val="0"/>
          <w:caps w:val="0"/>
          <w:color w:val="575757"/>
          <w:spacing w:val="0"/>
          <w:sz w:val="18"/>
          <w:szCs w:val="18"/>
          <w:shd w:val="clear" w:fill="FFFFFF"/>
        </w:rPr>
        <w:t>四、复试形式：笔试+面试。</w:t>
      </w:r>
      <w:r>
        <w:rPr>
          <w:rFonts w:hint="eastAsia" w:ascii="宋体" w:hAnsi="宋体" w:eastAsia="宋体" w:cs="宋体"/>
          <w:i w:val="0"/>
          <w:caps w:val="0"/>
          <w:color w:val="575757"/>
          <w:spacing w:val="0"/>
          <w:sz w:val="18"/>
          <w:szCs w:val="18"/>
          <w:shd w:val="clear" w:fill="FFFFFF"/>
        </w:rPr>
        <w:t>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五、复试内容：</w:t>
      </w:r>
      <w:r>
        <w:rPr>
          <w:rFonts w:hint="eastAsia" w:ascii="宋体" w:hAnsi="宋体" w:eastAsia="宋体" w:cs="宋体"/>
          <w:b w:val="0"/>
          <w:i w:val="0"/>
          <w:caps w:val="0"/>
          <w:color w:val="575757"/>
          <w:spacing w:val="0"/>
          <w:sz w:val="18"/>
          <w:szCs w:val="18"/>
          <w:shd w:val="clear" w:fill="FFFFFF"/>
        </w:rPr>
        <w:t> </w:t>
      </w:r>
      <w:r>
        <w:rPr>
          <w:rFonts w:hint="eastAsia" w:ascii="宋体" w:hAnsi="宋体" w:eastAsia="宋体" w:cs="宋体"/>
          <w:b w:val="0"/>
          <w:i w:val="0"/>
          <w:caps w:val="0"/>
          <w:color w:val="575757"/>
          <w:spacing w:val="0"/>
          <w:sz w:val="18"/>
          <w:szCs w:val="18"/>
          <w:shd w:val="clear" w:fill="FFFFFF"/>
        </w:rPr>
        <w:br w:type="textWrapping"/>
      </w:r>
      <w:r>
        <w:rPr>
          <w:rFonts w:hint="eastAsia" w:ascii="宋体" w:hAnsi="宋体" w:eastAsia="宋体" w:cs="宋体"/>
          <w:b w:val="0"/>
          <w:i w:val="0"/>
          <w:caps w:val="0"/>
          <w:color w:val="575757"/>
          <w:spacing w:val="0"/>
          <w:sz w:val="18"/>
          <w:szCs w:val="18"/>
          <w:shd w:val="clear" w:fill="FFFFFF"/>
        </w:rPr>
        <w:t>笔试包括行政法（满分100分）和诉讼法（满分100分）两个部分。面试包括专业基本素质考核（满分50分）与英语考核（满分50分）。专业基本素质考核主要考查考生对本专业基本知识的掌握、基本理论的理解和运用、对本学科发展动态的了解。英语考核主要考查学生的英语听说能力。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六、复试成绩：</w:t>
      </w:r>
      <w:r>
        <w:rPr>
          <w:rFonts w:hint="eastAsia" w:ascii="宋体" w:hAnsi="宋体" w:eastAsia="宋体" w:cs="宋体"/>
          <w:b w:val="0"/>
          <w:i w:val="0"/>
          <w:caps w:val="0"/>
          <w:color w:val="575757"/>
          <w:spacing w:val="0"/>
          <w:sz w:val="18"/>
          <w:szCs w:val="18"/>
          <w:shd w:val="clear" w:fill="FFFFFF"/>
        </w:rPr>
        <w:t>满分100分。笔试满分200分、面试满分100分，复试成绩=（笔试成绩+面试成绩）÷3。复试成绩不合格者，不予录取。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七、最终成绩：</w:t>
      </w:r>
      <w:r>
        <w:rPr>
          <w:rFonts w:hint="eastAsia" w:ascii="宋体" w:hAnsi="宋体" w:eastAsia="宋体" w:cs="宋体"/>
          <w:b w:val="0"/>
          <w:i w:val="0"/>
          <w:caps w:val="0"/>
          <w:color w:val="575757"/>
          <w:spacing w:val="0"/>
          <w:sz w:val="18"/>
          <w:szCs w:val="18"/>
          <w:shd w:val="clear" w:fill="FFFFFF"/>
        </w:rPr>
        <w:t>满分100分。初试成绩不计政治，复试成绩占比3/7。即最终成绩=（初试成绩【不计政治】+复试成绩×3）÷7。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八、录取：</w:t>
      </w:r>
      <w:r>
        <w:rPr>
          <w:rFonts w:hint="eastAsia" w:ascii="宋体" w:hAnsi="宋体" w:eastAsia="宋体" w:cs="宋体"/>
          <w:b w:val="0"/>
          <w:i w:val="0"/>
          <w:caps w:val="0"/>
          <w:color w:val="575757"/>
          <w:spacing w:val="0"/>
          <w:sz w:val="18"/>
          <w:szCs w:val="18"/>
          <w:shd w:val="clear" w:fill="FFFFFF"/>
        </w:rPr>
        <w:t>按最终成绩由高到低排序，提出拟录取名单报批。为保证招生质量，报批人数可小于招生计划。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九、调剂：</w:t>
      </w:r>
      <w:r>
        <w:rPr>
          <w:rFonts w:hint="eastAsia" w:ascii="宋体" w:hAnsi="宋体" w:eastAsia="宋体" w:cs="宋体"/>
          <w:b w:val="0"/>
          <w:i w:val="0"/>
          <w:caps w:val="0"/>
          <w:color w:val="575757"/>
          <w:spacing w:val="0"/>
          <w:sz w:val="18"/>
          <w:szCs w:val="18"/>
          <w:shd w:val="clear" w:fill="FFFFFF"/>
        </w:rPr>
        <w:t>本专业在生源不足的情况下接受调剂。调剂信息将于复试阶段在中国科大研究生招生在线网站（http://yz.ustc.edu.cn）发布。 </w:t>
      </w:r>
      <w:r>
        <w:rPr>
          <w:rFonts w:hint="eastAsia" w:ascii="宋体" w:hAnsi="宋体" w:eastAsia="宋体" w:cs="宋体"/>
          <w:b w:val="0"/>
          <w:i w:val="0"/>
          <w:caps w:val="0"/>
          <w:color w:val="575757"/>
          <w:spacing w:val="0"/>
          <w:sz w:val="18"/>
          <w:szCs w:val="18"/>
          <w:shd w:val="clear" w:fill="FFFFFF"/>
        </w:rPr>
        <w:br w:type="textWrapping"/>
      </w:r>
      <w:r>
        <w:rPr>
          <w:rStyle w:val="4"/>
          <w:rFonts w:hint="eastAsia" w:ascii="宋体" w:hAnsi="宋体" w:eastAsia="宋体" w:cs="宋体"/>
          <w:i w:val="0"/>
          <w:caps w:val="0"/>
          <w:color w:val="575757"/>
          <w:spacing w:val="0"/>
          <w:sz w:val="18"/>
          <w:szCs w:val="18"/>
          <w:shd w:val="clear" w:fill="FFFFFF"/>
        </w:rPr>
        <w:t>十、学费标准：</w:t>
      </w:r>
      <w:r>
        <w:rPr>
          <w:rFonts w:hint="eastAsia" w:ascii="宋体" w:hAnsi="宋体" w:eastAsia="宋体" w:cs="宋体"/>
          <w:b w:val="0"/>
          <w:i w:val="0"/>
          <w:caps w:val="0"/>
          <w:color w:val="575757"/>
          <w:spacing w:val="0"/>
          <w:sz w:val="18"/>
          <w:szCs w:val="18"/>
          <w:shd w:val="clear" w:fill="FFFFFF"/>
        </w:rPr>
        <w:t>8000/学年。</w:t>
      </w:r>
    </w:p>
    <w:p>
      <w:pPr>
        <w:rPr>
          <w:rFonts w:hint="eastAsia" w:ascii="宋体" w:hAnsi="宋体" w:eastAsia="宋体" w:cs="宋体"/>
          <w:b/>
          <w:i w:val="0"/>
          <w:caps w:val="0"/>
          <w:color w:val="666666"/>
          <w:spacing w:val="0"/>
          <w:sz w:val="18"/>
          <w:szCs w:val="18"/>
          <w:shd w:val="clear" w:fill="DEF1FB"/>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公共管理</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接收推免生和报考生。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本一级学科下涵盖三个二级学科专业：行政管理、教育经济与管理以及社会保障。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行政管理专业致力于培养具有扎实的基础知识和系统的专业知识，熟悉我国和国际行政管理理论和实践的现状和发展趋势，具备一定的科学研究能力，能独立分析和解决实际问题，德智体全面发展，适应在公共部门（尤其是党政机关）和企事业单位从事实际行政管理工作的应用型人才，以及在高校、党校、行政学院和科研单位从事教学科研工作的学术型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教育经济与管理专业通过系统的教育经济与管理学科及其相关课程的学习和研究，致力于培养在教育经济与管理领域掌握坚实的基础理论和系统的专门知识，具有独立担负本学科的科学研究和高等学校教学工作的能力，能在企业、学校、政府机关和其他社会组织独立从事教育经济与管理研究以及人力资源开发工作的高层次专门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社会保障专业致力于培养研究社会保障理论和制度设计，熟悉社会保障理论与政策的现状及发展趋势，它以国际社会保障为背景，突出中国社会保障及相关领域，以培养高素质的能够在政府社会保障管理部门、保险公司等大型企业、有关教学科研单位，以及工青妇组织及重要的慈善公益团体从事社会保障、民政、保险、员工福利等领域理论与实际工作的高层次复合型人才为目标。</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4" w:type="dxa"/>
        <w:tblCellSpacing w:w="7" w:type="dxa"/>
        <w:tblInd w:w="0" w:type="dxa"/>
        <w:shd w:val="clear" w:color="auto" w:fill="CCCCCC"/>
        <w:tblLayout w:type="fixed"/>
        <w:tblCellMar>
          <w:top w:w="0" w:type="dxa"/>
          <w:left w:w="0" w:type="dxa"/>
          <w:bottom w:w="0" w:type="dxa"/>
          <w:right w:w="0" w:type="dxa"/>
        </w:tblCellMar>
      </w:tblPr>
      <w:tblGrid>
        <w:gridCol w:w="4242"/>
        <w:gridCol w:w="4242"/>
      </w:tblGrid>
      <w:tr>
        <w:tblPrEx>
          <w:shd w:val="clear" w:color="auto" w:fill="CCCCCC"/>
          <w:tblLayout w:type="fixed"/>
          <w:tblCellMar>
            <w:top w:w="0" w:type="dxa"/>
            <w:left w:w="0" w:type="dxa"/>
            <w:bottom w:w="0" w:type="dxa"/>
            <w:right w:w="0" w:type="dxa"/>
          </w:tblCellMar>
        </w:tblPrEx>
        <w:trPr>
          <w:tblCellSpacing w:w="7" w:type="dxa"/>
        </w:trPr>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1、法学与公共管理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2、公共政策与区域发展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3、行政领导与公共部门人力资源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4、环境政策与管理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5、教育管理及人力资源开发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6、健康与医疗保障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7、劳动就业保障</w:t>
            </w:r>
          </w:p>
        </w:tc>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303数学三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858公共管理与公共政策</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复试旨在考核考生的专业素质和综合素质。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其中专业素质考核以考察考生对本学科（专业）理论知识和应用技能掌握程度，特别是考察考生对本专业基本知识和基本概念的掌握和理解、对本学科发展动态的了解以及在本专业领域发展的潜力。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综合素质考核是考察考生思想政治素质和道德品质、英语听说能力、本专业以外的学习、科研和社会实践或实际工作等方面的经历、个性心理特征、诚信状况、意志品质等。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本专业笔试科目：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1、英语写作（满分100分）；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2、公共行政与公共事务（满分100分）。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满分100分。笔试满分200分、面试满分200分，复试成绩=（笔试成绩+面试成绩）÷4。复试成绩不合格者，不予录取。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：8000/学年。</w:t>
      </w:r>
    </w:p>
    <w:p>
      <w:pPr>
        <w:rPr>
          <w:rFonts w:hint="eastAsia" w:ascii="宋体" w:hAnsi="宋体" w:eastAsia="宋体" w:cs="宋体"/>
          <w:b/>
          <w:i w:val="0"/>
          <w:caps w:val="0"/>
          <w:color w:val="666666"/>
          <w:spacing w:val="0"/>
          <w:sz w:val="18"/>
          <w:szCs w:val="18"/>
          <w:shd w:val="clear" w:fill="DEF1FB"/>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0244B"/>
    <w:rsid w:val="7DB024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2018-09-15T08:02:00Z</dcterms:created>
  <dc:creator>Zlh</dc:creator>
  <cp:lastModifiedBy>Zlh</cp:lastModifiedBy>
  <dcterms:modified xsi:type="dcterms:W3CDTF">2018-09-15T08:05:25Z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