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210" w:leftChars="100"/>
        <w:jc w:val="left"/>
        <w:rPr>
          <w:rFonts w:hint="eastAsia" w:ascii="仿宋_GB2312" w:hAnsi="仿宋" w:eastAsia="仿宋_GB2312"/>
          <w:sz w:val="24"/>
        </w:rPr>
      </w:pPr>
      <w:r>
        <w:rPr>
          <w:rFonts w:hint="eastAsia" w:ascii="仿宋_GB2312" w:hAnsi="仿宋" w:eastAsia="仿宋_GB2312"/>
          <w:sz w:val="24"/>
        </w:rPr>
        <w:t>附件</w:t>
      </w:r>
      <w:r>
        <w:rPr>
          <w:rFonts w:hint="eastAsia" w:ascii="仿宋_GB2312" w:eastAsia="仿宋_GB2312"/>
          <w:sz w:val="24"/>
        </w:rPr>
        <w:t>1</w:t>
      </w:r>
      <w:r>
        <w:rPr>
          <w:rFonts w:hint="eastAsia" w:ascii="仿宋_GB2312" w:hAnsi="仿宋" w:eastAsia="仿宋_GB2312"/>
          <w:sz w:val="24"/>
        </w:rPr>
        <w:t>：</w:t>
      </w:r>
    </w:p>
    <w:p>
      <w:pPr>
        <w:widowControl/>
        <w:jc w:val="center"/>
        <w:rPr>
          <w:rFonts w:hint="eastAsia" w:ascii="仿宋_GB2312" w:eastAsia="仿宋_GB2312"/>
          <w:b/>
          <w:sz w:val="28"/>
          <w:szCs w:val="28"/>
        </w:rPr>
      </w:pPr>
      <w:bookmarkStart w:id="0" w:name="_GoBack"/>
      <w:bookmarkEnd w:id="0"/>
      <w:r>
        <w:rPr>
          <w:rFonts w:hint="eastAsia" w:ascii="仿宋_GB2312" w:hAnsi="仿宋" w:eastAsia="仿宋_GB2312"/>
          <w:b/>
          <w:sz w:val="28"/>
          <w:szCs w:val="28"/>
        </w:rPr>
        <w:t>学科综合水平考试科目、学科、考试大纲及指南使用对照表</w:t>
      </w:r>
    </w:p>
    <w:tbl>
      <w:tblPr>
        <w:tblStyle w:val="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492"/>
        <w:gridCol w:w="467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454" w:type="dxa"/>
            <w:vAlign w:val="center"/>
          </w:tcPr>
          <w:p>
            <w:pPr>
              <w:jc w:val="center"/>
              <w:rPr>
                <w:rFonts w:hint="eastAsia" w:ascii="仿宋_GB2312" w:eastAsia="仿宋_GB2312"/>
                <w:b/>
                <w:sz w:val="24"/>
              </w:rPr>
            </w:pPr>
            <w:r>
              <w:rPr>
                <w:rFonts w:hint="eastAsia" w:ascii="仿宋_GB2312" w:hAnsi="仿宋" w:eastAsia="仿宋_GB2312"/>
                <w:b/>
                <w:sz w:val="24"/>
              </w:rPr>
              <w:t>考试科目</w:t>
            </w:r>
          </w:p>
        </w:tc>
        <w:tc>
          <w:tcPr>
            <w:tcW w:w="1492" w:type="dxa"/>
            <w:vAlign w:val="center"/>
          </w:tcPr>
          <w:p>
            <w:pPr>
              <w:jc w:val="center"/>
              <w:rPr>
                <w:rFonts w:hint="eastAsia" w:ascii="仿宋_GB2312" w:eastAsia="仿宋_GB2312"/>
                <w:b/>
                <w:sz w:val="24"/>
              </w:rPr>
            </w:pPr>
            <w:r>
              <w:rPr>
                <w:rFonts w:hint="eastAsia" w:ascii="仿宋_GB2312" w:hAnsi="仿宋" w:eastAsia="仿宋_GB2312"/>
                <w:b/>
                <w:sz w:val="24"/>
              </w:rPr>
              <w:t>对应学科</w:t>
            </w:r>
          </w:p>
        </w:tc>
        <w:tc>
          <w:tcPr>
            <w:tcW w:w="4675" w:type="dxa"/>
            <w:vAlign w:val="center"/>
          </w:tcPr>
          <w:p>
            <w:pPr>
              <w:jc w:val="center"/>
              <w:rPr>
                <w:rFonts w:hint="eastAsia" w:ascii="仿宋_GB2312" w:eastAsia="仿宋_GB2312"/>
                <w:b/>
                <w:sz w:val="24"/>
              </w:rPr>
            </w:pPr>
            <w:r>
              <w:rPr>
                <w:rFonts w:hint="eastAsia" w:ascii="仿宋_GB2312" w:hAnsi="仿宋" w:eastAsia="仿宋_GB2312"/>
                <w:b/>
                <w:sz w:val="24"/>
              </w:rPr>
              <w:t>考试大纲及指南</w:t>
            </w:r>
          </w:p>
        </w:tc>
        <w:tc>
          <w:tcPr>
            <w:tcW w:w="1559" w:type="dxa"/>
            <w:vAlign w:val="center"/>
          </w:tcPr>
          <w:p>
            <w:pPr>
              <w:jc w:val="center"/>
              <w:rPr>
                <w:rFonts w:hint="eastAsia" w:ascii="仿宋_GB2312" w:eastAsia="仿宋_GB2312"/>
                <w:b/>
                <w:sz w:val="24"/>
              </w:rPr>
            </w:pPr>
            <w:r>
              <w:rPr>
                <w:rFonts w:hint="eastAsia" w:ascii="仿宋_GB2312" w:hAnsi="仿宋" w:eastAsia="仿宋_GB2312"/>
                <w:b/>
                <w:sz w:val="24"/>
              </w:rPr>
              <w:t>考试大纲及指南版本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1454" w:type="dxa"/>
            <w:vMerge w:val="restart"/>
            <w:vAlign w:val="center"/>
          </w:tcPr>
          <w:p>
            <w:pPr>
              <w:jc w:val="center"/>
              <w:rPr>
                <w:rFonts w:hint="eastAsia" w:ascii="仿宋_GB2312" w:eastAsia="仿宋_GB2312"/>
                <w:sz w:val="24"/>
              </w:rPr>
            </w:pPr>
            <w:r>
              <w:rPr>
                <w:rFonts w:hint="eastAsia" w:ascii="仿宋_GB2312" w:hAnsi="仿宋" w:eastAsia="仿宋_GB2312"/>
                <w:sz w:val="24"/>
              </w:rPr>
              <w:t>哲学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哲学</w:t>
            </w:r>
            <w:r>
              <w:rPr>
                <w:rFonts w:hint="eastAsia" w:ascii="仿宋_GB2312" w:eastAsia="仿宋_GB2312"/>
                <w:sz w:val="24"/>
              </w:rPr>
              <w:t>*</w:t>
            </w:r>
          </w:p>
        </w:tc>
        <w:tc>
          <w:tcPr>
            <w:tcW w:w="4675" w:type="dxa"/>
            <w:vMerge w:val="restart"/>
            <w:vAlign w:val="center"/>
          </w:tcPr>
          <w:p>
            <w:pPr>
              <w:rPr>
                <w:rFonts w:hint="eastAsia" w:ascii="仿宋_GB2312" w:eastAsia="仿宋_GB2312"/>
                <w:sz w:val="24"/>
              </w:rPr>
            </w:pPr>
            <w:r>
              <w:rPr>
                <w:rFonts w:hint="eastAsia" w:ascii="仿宋_GB2312" w:hAnsi="仿宋" w:eastAsia="仿宋_GB2312"/>
                <w:sz w:val="24"/>
              </w:rPr>
              <w:t>《同等学力人员申请硕士学位哲学学科综合水平全国统一考试大纲及指南》</w:t>
            </w:r>
          </w:p>
        </w:tc>
        <w:tc>
          <w:tcPr>
            <w:tcW w:w="1559" w:type="dxa"/>
            <w:vMerge w:val="restart"/>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1454" w:type="dxa"/>
            <w:vMerge w:val="continue"/>
            <w:vAlign w:val="center"/>
          </w:tcPr>
          <w:p>
            <w:pPr>
              <w:jc w:val="center"/>
              <w:rPr>
                <w:rFonts w:hint="eastAsia" w:ascii="仿宋_GB2312" w:eastAsia="仿宋_GB2312"/>
                <w:sz w:val="24"/>
              </w:rPr>
            </w:pP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马克思主义理论</w:t>
            </w:r>
          </w:p>
        </w:tc>
        <w:tc>
          <w:tcPr>
            <w:tcW w:w="4675" w:type="dxa"/>
            <w:vMerge w:val="continue"/>
            <w:vAlign w:val="center"/>
          </w:tcPr>
          <w:p>
            <w:pPr>
              <w:rPr>
                <w:rFonts w:hint="eastAsia" w:ascii="仿宋_GB2312" w:eastAsia="仿宋_GB2312"/>
                <w:sz w:val="24"/>
              </w:rPr>
            </w:pPr>
          </w:p>
        </w:tc>
        <w:tc>
          <w:tcPr>
            <w:tcW w:w="1559" w:type="dxa"/>
            <w:vMerge w:val="continue"/>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vAlign w:val="center"/>
          </w:tcPr>
          <w:p>
            <w:pPr>
              <w:jc w:val="center"/>
              <w:rPr>
                <w:rFonts w:hint="eastAsia" w:ascii="仿宋_GB2312" w:eastAsia="仿宋_GB2312"/>
                <w:sz w:val="24"/>
              </w:rPr>
            </w:pPr>
            <w:r>
              <w:rPr>
                <w:rFonts w:hint="eastAsia" w:ascii="仿宋_GB2312" w:hAnsi="仿宋" w:eastAsia="仿宋_GB2312"/>
                <w:sz w:val="24"/>
              </w:rPr>
              <w:t>经济学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理论经济学</w:t>
            </w:r>
          </w:p>
        </w:tc>
        <w:tc>
          <w:tcPr>
            <w:tcW w:w="4675" w:type="dxa"/>
            <w:vMerge w:val="restart"/>
            <w:vAlign w:val="center"/>
          </w:tcPr>
          <w:p>
            <w:pPr>
              <w:rPr>
                <w:rFonts w:hint="eastAsia" w:ascii="仿宋_GB2312" w:eastAsia="仿宋_GB2312"/>
                <w:sz w:val="24"/>
              </w:rPr>
            </w:pPr>
            <w:r>
              <w:rPr>
                <w:rFonts w:hint="eastAsia" w:ascii="仿宋_GB2312" w:hAnsi="仿宋" w:eastAsia="仿宋_GB2312"/>
                <w:sz w:val="24"/>
              </w:rPr>
              <w:t>《同等学力人员申请硕士学位经济学学科综合水平全国统一考试大纲及指南》</w:t>
            </w:r>
          </w:p>
        </w:tc>
        <w:tc>
          <w:tcPr>
            <w:tcW w:w="1559" w:type="dxa"/>
            <w:vMerge w:val="restart"/>
            <w:vAlign w:val="center"/>
          </w:tcPr>
          <w:p>
            <w:pPr>
              <w:jc w:val="center"/>
              <w:rPr>
                <w:rFonts w:hint="eastAsia" w:ascii="仿宋_GB2312" w:eastAsia="仿宋_GB2312"/>
                <w:sz w:val="24"/>
              </w:rPr>
            </w:pPr>
            <w:r>
              <w:rPr>
                <w:rFonts w:hint="eastAsia" w:ascii="仿宋_GB2312" w:hAnsi="仿宋" w:eastAsia="仿宋_GB2312"/>
                <w:sz w:val="24"/>
              </w:rPr>
              <w:t>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vAlign w:val="center"/>
          </w:tcPr>
          <w:p>
            <w:pPr>
              <w:jc w:val="center"/>
              <w:rPr>
                <w:rFonts w:hint="eastAsia" w:ascii="仿宋_GB2312" w:eastAsia="仿宋_GB2312"/>
                <w:sz w:val="24"/>
              </w:rPr>
            </w:pP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应用经济学</w:t>
            </w:r>
          </w:p>
        </w:tc>
        <w:tc>
          <w:tcPr>
            <w:tcW w:w="4675" w:type="dxa"/>
            <w:vMerge w:val="continue"/>
            <w:vAlign w:val="center"/>
          </w:tcPr>
          <w:p>
            <w:pPr>
              <w:rPr>
                <w:rFonts w:hint="eastAsia" w:ascii="仿宋_GB2312" w:eastAsia="仿宋_GB2312"/>
                <w:sz w:val="24"/>
              </w:rPr>
            </w:pPr>
          </w:p>
        </w:tc>
        <w:tc>
          <w:tcPr>
            <w:tcW w:w="1559" w:type="dxa"/>
            <w:vMerge w:val="continue"/>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法学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法学</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《同等学力人员申请硕士学位法学学科综合水平全国统一考试大纲及指南》</w:t>
            </w:r>
          </w:p>
        </w:tc>
        <w:tc>
          <w:tcPr>
            <w:tcW w:w="1559" w:type="dxa"/>
            <w:vAlign w:val="center"/>
          </w:tcPr>
          <w:p>
            <w:pPr>
              <w:jc w:val="center"/>
              <w:rPr>
                <w:rFonts w:hint="eastAsia" w:ascii="仿宋_GB2312" w:hAnsi="仿宋" w:eastAsia="仿宋_GB2312"/>
                <w:bCs/>
                <w:sz w:val="24"/>
              </w:rPr>
            </w:pPr>
            <w:r>
              <w:rPr>
                <w:rFonts w:hint="eastAsia" w:ascii="仿宋_GB2312" w:hAnsi="仿宋" w:eastAsia="仿宋_GB2312"/>
                <w:bCs/>
                <w:sz w:val="24"/>
              </w:rPr>
              <w:t>第五版</w:t>
            </w:r>
          </w:p>
          <w:p>
            <w:pPr>
              <w:jc w:val="center"/>
              <w:rPr>
                <w:rFonts w:hint="eastAsia" w:ascii="仿宋_GB2312" w:eastAsia="仿宋_GB2312"/>
                <w:sz w:val="24"/>
              </w:rPr>
            </w:pPr>
            <w:r>
              <w:rPr>
                <w:rFonts w:hint="eastAsia" w:ascii="仿宋_GB2312" w:hAnsi="仿宋" w:eastAsia="仿宋_GB2312"/>
                <w:bCs/>
                <w:sz w:val="24"/>
                <w:lang w:val="en-US" w:eastAsia="zh-CN"/>
              </w:rPr>
              <w:t>(修订稿）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1454" w:type="dxa"/>
            <w:vMerge w:val="restart"/>
            <w:vAlign w:val="center"/>
          </w:tcPr>
          <w:p>
            <w:pPr>
              <w:jc w:val="center"/>
              <w:rPr>
                <w:rFonts w:hint="eastAsia" w:ascii="仿宋_GB2312" w:eastAsia="仿宋_GB2312"/>
                <w:sz w:val="24"/>
              </w:rPr>
            </w:pPr>
            <w:r>
              <w:rPr>
                <w:rFonts w:hint="eastAsia" w:ascii="仿宋_GB2312" w:hAnsi="仿宋" w:eastAsia="仿宋_GB2312"/>
                <w:sz w:val="24"/>
              </w:rPr>
              <w:t>政治学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政治学</w:t>
            </w:r>
            <w:r>
              <w:rPr>
                <w:rFonts w:hint="eastAsia" w:ascii="仿宋_GB2312" w:eastAsia="仿宋_GB2312"/>
                <w:sz w:val="24"/>
              </w:rPr>
              <w:t>*</w:t>
            </w:r>
          </w:p>
        </w:tc>
        <w:tc>
          <w:tcPr>
            <w:tcW w:w="4675" w:type="dxa"/>
            <w:vMerge w:val="restart"/>
            <w:vAlign w:val="center"/>
          </w:tcPr>
          <w:p>
            <w:pPr>
              <w:rPr>
                <w:rFonts w:hint="eastAsia" w:ascii="仿宋_GB2312" w:eastAsia="仿宋_GB2312"/>
                <w:sz w:val="24"/>
              </w:rPr>
            </w:pPr>
            <w:r>
              <w:rPr>
                <w:rFonts w:hint="eastAsia" w:ascii="仿宋_GB2312" w:hAnsi="仿宋" w:eastAsia="仿宋_GB2312"/>
                <w:sz w:val="24"/>
              </w:rPr>
              <w:t>《同等学力人员申请硕士学位政治学学科综合水平全国统一考试大纲及指南》</w:t>
            </w:r>
          </w:p>
        </w:tc>
        <w:tc>
          <w:tcPr>
            <w:tcW w:w="1559" w:type="dxa"/>
            <w:vMerge w:val="restart"/>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1454" w:type="dxa"/>
            <w:vMerge w:val="continue"/>
            <w:vAlign w:val="center"/>
          </w:tcPr>
          <w:p>
            <w:pPr>
              <w:jc w:val="center"/>
              <w:rPr>
                <w:rFonts w:hint="eastAsia" w:ascii="仿宋_GB2312" w:eastAsia="仿宋_GB2312"/>
                <w:sz w:val="24"/>
              </w:rPr>
            </w:pP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马克思主义理论</w:t>
            </w:r>
          </w:p>
        </w:tc>
        <w:tc>
          <w:tcPr>
            <w:tcW w:w="4675" w:type="dxa"/>
            <w:vMerge w:val="continue"/>
            <w:vAlign w:val="center"/>
          </w:tcPr>
          <w:p>
            <w:pPr>
              <w:rPr>
                <w:rFonts w:hint="eastAsia" w:ascii="仿宋_GB2312" w:eastAsia="仿宋_GB2312"/>
                <w:sz w:val="24"/>
              </w:rPr>
            </w:pPr>
          </w:p>
        </w:tc>
        <w:tc>
          <w:tcPr>
            <w:tcW w:w="1559" w:type="dxa"/>
            <w:vMerge w:val="continue"/>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社会学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社会学</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《同等学力人员申请硕士学位社会学学科综合水平全国统一考试大纲及指南》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教育学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教育学</w:t>
            </w:r>
            <w:r>
              <w:rPr>
                <w:rFonts w:hint="eastAsia" w:ascii="仿宋_GB2312" w:eastAsia="仿宋_GB2312"/>
                <w:sz w:val="24"/>
              </w:rPr>
              <w:t>*</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《同等学力人员申请硕士学位教育学学科综合水平全国统一考试大纲及指南》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心理学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心理学</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《同等学力人员申请硕士学位心理学学科综合水平全国统一考试大纲及指南》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中国语言文学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中国语言文学</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《同等学力人员申请硕士学位中国语言文学学科综合水平全国统一考试大纲及指南》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新闻传播学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新闻传播学</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《同等学力人员申请硕士学位新闻传播学学科综合水平全国统一考试大纲及指南》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vAlign w:val="center"/>
          </w:tcPr>
          <w:p>
            <w:pPr>
              <w:jc w:val="center"/>
              <w:rPr>
                <w:rFonts w:hint="eastAsia" w:ascii="仿宋_GB2312" w:eastAsia="仿宋_GB2312"/>
                <w:sz w:val="24"/>
              </w:rPr>
            </w:pPr>
            <w:r>
              <w:rPr>
                <w:rFonts w:hint="eastAsia" w:ascii="仿宋_GB2312" w:hAnsi="仿宋" w:eastAsia="仿宋_GB2312"/>
                <w:sz w:val="24"/>
              </w:rPr>
              <w:t>历史学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考古学</w:t>
            </w:r>
          </w:p>
        </w:tc>
        <w:tc>
          <w:tcPr>
            <w:tcW w:w="4675" w:type="dxa"/>
            <w:vMerge w:val="restart"/>
            <w:vAlign w:val="center"/>
          </w:tcPr>
          <w:p>
            <w:pPr>
              <w:rPr>
                <w:rFonts w:hint="eastAsia" w:ascii="仿宋_GB2312" w:eastAsia="仿宋_GB2312"/>
                <w:sz w:val="24"/>
              </w:rPr>
            </w:pPr>
            <w:r>
              <w:rPr>
                <w:rFonts w:hint="eastAsia" w:ascii="仿宋_GB2312" w:hAnsi="仿宋" w:eastAsia="仿宋_GB2312"/>
                <w:sz w:val="24"/>
              </w:rPr>
              <w:t>《同等学力人员申请硕士学位历史学学科综合水平全国统一考试大纲及指南》</w:t>
            </w:r>
          </w:p>
        </w:tc>
        <w:tc>
          <w:tcPr>
            <w:tcW w:w="1559" w:type="dxa"/>
            <w:vMerge w:val="restart"/>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vAlign w:val="center"/>
          </w:tcPr>
          <w:p>
            <w:pPr>
              <w:jc w:val="center"/>
              <w:rPr>
                <w:rFonts w:hint="eastAsia" w:ascii="仿宋_GB2312" w:eastAsia="仿宋_GB2312"/>
                <w:sz w:val="24"/>
              </w:rPr>
            </w:pP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中国史</w:t>
            </w:r>
          </w:p>
        </w:tc>
        <w:tc>
          <w:tcPr>
            <w:tcW w:w="4675" w:type="dxa"/>
            <w:vMerge w:val="continue"/>
            <w:vAlign w:val="center"/>
          </w:tcPr>
          <w:p>
            <w:pPr>
              <w:rPr>
                <w:rFonts w:hint="eastAsia" w:ascii="仿宋_GB2312" w:eastAsia="仿宋_GB2312"/>
                <w:sz w:val="24"/>
              </w:rPr>
            </w:pPr>
          </w:p>
        </w:tc>
        <w:tc>
          <w:tcPr>
            <w:tcW w:w="1559" w:type="dxa"/>
            <w:vMerge w:val="continue"/>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vAlign w:val="center"/>
          </w:tcPr>
          <w:p>
            <w:pPr>
              <w:jc w:val="center"/>
              <w:rPr>
                <w:rFonts w:hint="eastAsia" w:ascii="仿宋_GB2312" w:eastAsia="仿宋_GB2312"/>
                <w:sz w:val="24"/>
              </w:rPr>
            </w:pP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世界史</w:t>
            </w:r>
          </w:p>
        </w:tc>
        <w:tc>
          <w:tcPr>
            <w:tcW w:w="4675" w:type="dxa"/>
            <w:vMerge w:val="continue"/>
            <w:vAlign w:val="center"/>
          </w:tcPr>
          <w:p>
            <w:pPr>
              <w:rPr>
                <w:rFonts w:hint="eastAsia" w:ascii="仿宋_GB2312" w:eastAsia="仿宋_GB2312"/>
                <w:sz w:val="24"/>
              </w:rPr>
            </w:pPr>
          </w:p>
        </w:tc>
        <w:tc>
          <w:tcPr>
            <w:tcW w:w="1559" w:type="dxa"/>
            <w:vMerge w:val="continue"/>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地理学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地理学</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《同等学力人员申请硕士学位地理学学科综合水平全国统一考试大纲及指南》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生物学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生物学</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《同等学力人员申请硕士学位生物学学科综合水平全国统一考试大纲及指南》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机械工程</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机械工程</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《同等学力人员申请硕士学位机械工程学科综合水平全国统一考试大纲及指南》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动力工程及工程热物理</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动力工程及工程热物理</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《同等学力人员申请硕士学位动力工程及工程热物理学科综合水平全国统一考试大纲及指南》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电气工程</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电气工程</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《同等学力人员申请硕士学位电气工程学科综合水平全国统一考试大纲及指南》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电子科学与技术</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电子科学与技术</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《同等学力人员申请硕士学位电子科学与技术学科综合水平全国统一考试大纲及指南》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信息与通信工程</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信息与通信工程</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《同等学力人员申请硕士学位信息与通信工程学科综合水平全国统一考试大纲及指南》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控制科学与工程</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控制科学与工程</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《同等学力人员申请硕士学位控制科学与工程学科综合水平全国统一考试大纲及指南》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vAlign w:val="center"/>
          </w:tcPr>
          <w:p>
            <w:pPr>
              <w:jc w:val="center"/>
              <w:rPr>
                <w:rFonts w:hint="eastAsia" w:ascii="仿宋_GB2312" w:eastAsia="仿宋_GB2312"/>
                <w:sz w:val="24"/>
              </w:rPr>
            </w:pPr>
            <w:r>
              <w:rPr>
                <w:rFonts w:hint="eastAsia" w:ascii="仿宋_GB2312" w:hAnsi="仿宋" w:eastAsia="仿宋_GB2312"/>
                <w:sz w:val="24"/>
              </w:rPr>
              <w:t>计算机科学与技术</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计算机科学与技术</w:t>
            </w:r>
          </w:p>
        </w:tc>
        <w:tc>
          <w:tcPr>
            <w:tcW w:w="4675" w:type="dxa"/>
            <w:vMerge w:val="restart"/>
            <w:vAlign w:val="center"/>
          </w:tcPr>
          <w:p>
            <w:pPr>
              <w:rPr>
                <w:rFonts w:hint="eastAsia" w:ascii="仿宋_GB2312" w:eastAsia="仿宋_GB2312"/>
                <w:sz w:val="24"/>
              </w:rPr>
            </w:pPr>
            <w:r>
              <w:rPr>
                <w:rFonts w:hint="eastAsia" w:ascii="仿宋_GB2312" w:hAnsi="仿宋" w:eastAsia="仿宋_GB2312"/>
                <w:sz w:val="24"/>
              </w:rPr>
              <w:t>《同等学力人员申请硕士学位计算机科学与技术学科综合水平全国统一考试大纲及指南》</w:t>
            </w:r>
          </w:p>
        </w:tc>
        <w:tc>
          <w:tcPr>
            <w:tcW w:w="1559" w:type="dxa"/>
            <w:vMerge w:val="restart"/>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vAlign w:val="center"/>
          </w:tcPr>
          <w:p>
            <w:pPr>
              <w:jc w:val="center"/>
              <w:rPr>
                <w:rFonts w:hint="eastAsia" w:ascii="仿宋_GB2312" w:eastAsia="仿宋_GB2312"/>
                <w:sz w:val="24"/>
              </w:rPr>
            </w:pP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软件工程</w:t>
            </w:r>
          </w:p>
        </w:tc>
        <w:tc>
          <w:tcPr>
            <w:tcW w:w="4675" w:type="dxa"/>
            <w:vMerge w:val="continue"/>
            <w:vAlign w:val="center"/>
          </w:tcPr>
          <w:p>
            <w:pPr>
              <w:rPr>
                <w:rFonts w:hint="eastAsia" w:ascii="仿宋_GB2312" w:eastAsia="仿宋_GB2312"/>
                <w:sz w:val="24"/>
              </w:rPr>
            </w:pPr>
          </w:p>
        </w:tc>
        <w:tc>
          <w:tcPr>
            <w:tcW w:w="1559" w:type="dxa"/>
            <w:vMerge w:val="continue"/>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vAlign w:val="center"/>
          </w:tcPr>
          <w:p>
            <w:pPr>
              <w:jc w:val="center"/>
              <w:rPr>
                <w:rFonts w:hint="eastAsia" w:ascii="仿宋_GB2312" w:eastAsia="仿宋_GB2312"/>
                <w:sz w:val="24"/>
              </w:rPr>
            </w:pPr>
            <w:r>
              <w:rPr>
                <w:rFonts w:hint="eastAsia" w:ascii="仿宋_GB2312" w:hAnsi="仿宋" w:eastAsia="仿宋_GB2312"/>
                <w:sz w:val="24"/>
              </w:rPr>
              <w:t>建筑学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建筑学</w:t>
            </w:r>
          </w:p>
        </w:tc>
        <w:tc>
          <w:tcPr>
            <w:tcW w:w="4675" w:type="dxa"/>
            <w:vMerge w:val="restart"/>
            <w:vAlign w:val="center"/>
          </w:tcPr>
          <w:p>
            <w:pPr>
              <w:rPr>
                <w:rFonts w:hint="eastAsia" w:ascii="仿宋_GB2312" w:eastAsia="仿宋_GB2312"/>
                <w:sz w:val="24"/>
              </w:rPr>
            </w:pPr>
            <w:r>
              <w:rPr>
                <w:rFonts w:hint="eastAsia" w:ascii="仿宋_GB2312" w:hAnsi="仿宋" w:eastAsia="仿宋_GB2312"/>
                <w:sz w:val="24"/>
              </w:rPr>
              <w:t>《同等学力人员申请硕士学位建筑学学科综合水平全国统一考试大纲及指南》</w:t>
            </w:r>
          </w:p>
        </w:tc>
        <w:tc>
          <w:tcPr>
            <w:tcW w:w="1559" w:type="dxa"/>
            <w:vMerge w:val="restart"/>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vAlign w:val="center"/>
          </w:tcPr>
          <w:p>
            <w:pPr>
              <w:jc w:val="center"/>
              <w:rPr>
                <w:rFonts w:hint="eastAsia" w:ascii="仿宋_GB2312" w:eastAsia="仿宋_GB2312"/>
                <w:sz w:val="24"/>
              </w:rPr>
            </w:pP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城乡规划学</w:t>
            </w:r>
          </w:p>
        </w:tc>
        <w:tc>
          <w:tcPr>
            <w:tcW w:w="4675" w:type="dxa"/>
            <w:vMerge w:val="continue"/>
            <w:vAlign w:val="center"/>
          </w:tcPr>
          <w:p>
            <w:pPr>
              <w:rPr>
                <w:rFonts w:hint="eastAsia" w:ascii="仿宋_GB2312" w:eastAsia="仿宋_GB2312"/>
                <w:sz w:val="24"/>
              </w:rPr>
            </w:pPr>
          </w:p>
        </w:tc>
        <w:tc>
          <w:tcPr>
            <w:tcW w:w="1559" w:type="dxa"/>
            <w:vMerge w:val="continue"/>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vAlign w:val="center"/>
          </w:tcPr>
          <w:p>
            <w:pPr>
              <w:jc w:val="center"/>
              <w:rPr>
                <w:rFonts w:hint="eastAsia" w:ascii="仿宋_GB2312" w:eastAsia="仿宋_GB2312"/>
                <w:sz w:val="24"/>
              </w:rPr>
            </w:pP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风景园林学</w:t>
            </w:r>
          </w:p>
        </w:tc>
        <w:tc>
          <w:tcPr>
            <w:tcW w:w="4675" w:type="dxa"/>
            <w:vMerge w:val="continue"/>
            <w:vAlign w:val="center"/>
          </w:tcPr>
          <w:p>
            <w:pPr>
              <w:rPr>
                <w:rFonts w:hint="eastAsia" w:ascii="仿宋_GB2312" w:eastAsia="仿宋_GB2312"/>
                <w:sz w:val="24"/>
              </w:rPr>
            </w:pPr>
          </w:p>
        </w:tc>
        <w:tc>
          <w:tcPr>
            <w:tcW w:w="1559" w:type="dxa"/>
            <w:vMerge w:val="continue"/>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作物学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作物学</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《同等学力人员申请硕士学位作物学学科综合水平全国统一考试大纲及指南》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vAlign w:val="center"/>
          </w:tcPr>
          <w:p>
            <w:pPr>
              <w:jc w:val="center"/>
              <w:rPr>
                <w:rFonts w:hint="eastAsia" w:ascii="仿宋_GB2312" w:eastAsia="仿宋_GB2312"/>
                <w:sz w:val="24"/>
              </w:rPr>
            </w:pPr>
            <w:r>
              <w:rPr>
                <w:rFonts w:hint="eastAsia" w:ascii="仿宋_GB2312" w:hAnsi="仿宋" w:eastAsia="仿宋_GB2312"/>
                <w:sz w:val="24"/>
              </w:rPr>
              <w:t>临床医学</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临床医学</w:t>
            </w:r>
          </w:p>
        </w:tc>
        <w:tc>
          <w:tcPr>
            <w:tcW w:w="4675" w:type="dxa"/>
            <w:vMerge w:val="restart"/>
            <w:vAlign w:val="center"/>
          </w:tcPr>
          <w:p>
            <w:pPr>
              <w:rPr>
                <w:rFonts w:hint="eastAsia" w:ascii="仿宋_GB2312" w:eastAsia="仿宋_GB2312"/>
                <w:sz w:val="24"/>
              </w:rPr>
            </w:pPr>
            <w:r>
              <w:rPr>
                <w:rFonts w:hint="eastAsia" w:ascii="仿宋_GB2312" w:hAnsi="仿宋" w:eastAsia="仿宋_GB2312"/>
                <w:sz w:val="24"/>
              </w:rPr>
              <w:t>《同等学力人员申请硕士学位临床医学学科综合水平全国统一考试大纲及指南》</w:t>
            </w:r>
          </w:p>
        </w:tc>
        <w:tc>
          <w:tcPr>
            <w:tcW w:w="1559" w:type="dxa"/>
            <w:vMerge w:val="restart"/>
            <w:vAlign w:val="center"/>
          </w:tcPr>
          <w:p>
            <w:pPr>
              <w:jc w:val="center"/>
              <w:rPr>
                <w:rFonts w:hint="eastAsia" w:ascii="仿宋_GB2312" w:eastAsia="仿宋_GB2312"/>
                <w:sz w:val="24"/>
              </w:rPr>
            </w:pPr>
            <w:r>
              <w:rPr>
                <w:rFonts w:hint="eastAsia" w:ascii="仿宋_GB2312" w:hAnsi="仿宋" w:eastAsia="仿宋_GB2312"/>
                <w:bCs/>
                <w:sz w:val="24"/>
              </w:rPr>
              <w:t>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vAlign w:val="center"/>
          </w:tcPr>
          <w:p>
            <w:pPr>
              <w:jc w:val="center"/>
              <w:rPr>
                <w:rFonts w:hint="eastAsia" w:ascii="仿宋_GB2312" w:eastAsia="仿宋_GB2312"/>
                <w:sz w:val="24"/>
              </w:rPr>
            </w:pP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护理学</w:t>
            </w:r>
          </w:p>
        </w:tc>
        <w:tc>
          <w:tcPr>
            <w:tcW w:w="4675" w:type="dxa"/>
            <w:vMerge w:val="continue"/>
            <w:vAlign w:val="center"/>
          </w:tcPr>
          <w:p>
            <w:pPr>
              <w:rPr>
                <w:rFonts w:hint="eastAsia" w:ascii="仿宋_GB2312" w:eastAsia="仿宋_GB2312"/>
                <w:sz w:val="24"/>
              </w:rPr>
            </w:pPr>
          </w:p>
        </w:tc>
        <w:tc>
          <w:tcPr>
            <w:tcW w:w="1559" w:type="dxa"/>
            <w:vMerge w:val="continue"/>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管理科学与工程</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管理科学与工程</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《同等学力人员申请硕士学位管理科学与工程学科综合水平全国统一考试大纲及指南》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工商管理</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工商管理</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《同等学力人员申请硕士学位工商管理学科综合水平全国统一考试大纲及指南》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农林经济</w:t>
            </w:r>
          </w:p>
          <w:p>
            <w:pPr>
              <w:jc w:val="center"/>
              <w:rPr>
                <w:rFonts w:hint="eastAsia" w:ascii="仿宋_GB2312" w:eastAsia="仿宋_GB2312"/>
                <w:sz w:val="24"/>
              </w:rPr>
            </w:pPr>
            <w:r>
              <w:rPr>
                <w:rFonts w:hint="eastAsia" w:ascii="仿宋_GB2312" w:hAnsi="仿宋" w:eastAsia="仿宋_GB2312"/>
                <w:sz w:val="24"/>
              </w:rPr>
              <w:t>管理</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农林经济</w:t>
            </w:r>
          </w:p>
          <w:p>
            <w:pPr>
              <w:jc w:val="center"/>
              <w:rPr>
                <w:rFonts w:hint="eastAsia" w:ascii="仿宋_GB2312" w:eastAsia="仿宋_GB2312"/>
                <w:sz w:val="24"/>
              </w:rPr>
            </w:pPr>
            <w:r>
              <w:rPr>
                <w:rFonts w:hint="eastAsia" w:ascii="仿宋_GB2312" w:hAnsi="仿宋" w:eastAsia="仿宋_GB2312"/>
                <w:sz w:val="24"/>
              </w:rPr>
              <w:t>管理</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《同等学力人员申请硕士学位农林经济管理学科综合水平全国统一考试大纲及指南》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公共管理</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公共管理</w:t>
            </w:r>
            <w:r>
              <w:rPr>
                <w:rFonts w:hint="eastAsia" w:ascii="仿宋_GB2312" w:eastAsia="仿宋_GB2312"/>
                <w:sz w:val="24"/>
              </w:rPr>
              <w:t>*</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《同等学力人员申请硕士学位公共管理学科综合水平全国统一考试大纲及指南》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Align w:val="center"/>
          </w:tcPr>
          <w:p>
            <w:pPr>
              <w:jc w:val="center"/>
              <w:rPr>
                <w:rFonts w:hint="eastAsia" w:ascii="仿宋_GB2312" w:eastAsia="仿宋_GB2312"/>
                <w:sz w:val="24"/>
              </w:rPr>
            </w:pPr>
            <w:r>
              <w:rPr>
                <w:rFonts w:hint="eastAsia" w:ascii="仿宋_GB2312" w:hAnsi="仿宋" w:eastAsia="仿宋_GB2312"/>
                <w:sz w:val="24"/>
              </w:rPr>
              <w:t>图书馆、情报与档案管理</w:t>
            </w:r>
          </w:p>
        </w:tc>
        <w:tc>
          <w:tcPr>
            <w:tcW w:w="1492" w:type="dxa"/>
            <w:vAlign w:val="center"/>
          </w:tcPr>
          <w:p>
            <w:pPr>
              <w:jc w:val="center"/>
              <w:rPr>
                <w:rFonts w:hint="eastAsia" w:ascii="仿宋_GB2312" w:eastAsia="仿宋_GB2312"/>
                <w:sz w:val="24"/>
              </w:rPr>
            </w:pPr>
            <w:r>
              <w:rPr>
                <w:rFonts w:hint="eastAsia" w:ascii="仿宋_GB2312" w:hAnsi="仿宋" w:eastAsia="仿宋_GB2312"/>
                <w:sz w:val="24"/>
              </w:rPr>
              <w:t>图书情报与档案管理</w:t>
            </w:r>
          </w:p>
        </w:tc>
        <w:tc>
          <w:tcPr>
            <w:tcW w:w="4675" w:type="dxa"/>
            <w:vAlign w:val="center"/>
          </w:tcPr>
          <w:p>
            <w:pPr>
              <w:rPr>
                <w:rFonts w:hint="eastAsia" w:ascii="仿宋_GB2312" w:eastAsia="仿宋_GB2312"/>
                <w:sz w:val="24"/>
              </w:rPr>
            </w:pPr>
            <w:r>
              <w:rPr>
                <w:rFonts w:hint="eastAsia" w:ascii="仿宋_GB2312" w:hAnsi="仿宋" w:eastAsia="仿宋_GB2312"/>
                <w:sz w:val="24"/>
              </w:rPr>
              <w:t>《同等学力人员申请硕士学位图书馆、情报与档案管理学科综合水平全国统一考试大纲及指南》</w:t>
            </w:r>
          </w:p>
        </w:tc>
        <w:tc>
          <w:tcPr>
            <w:tcW w:w="1559" w:type="dxa"/>
            <w:vAlign w:val="center"/>
          </w:tcPr>
          <w:p>
            <w:pPr>
              <w:jc w:val="center"/>
              <w:rPr>
                <w:rFonts w:hint="eastAsia" w:ascii="仿宋_GB2312" w:eastAsia="仿宋_GB2312"/>
                <w:sz w:val="24"/>
              </w:rPr>
            </w:pPr>
            <w:r>
              <w:rPr>
                <w:rFonts w:hint="eastAsia" w:ascii="仿宋_GB2312" w:hAnsi="仿宋" w:eastAsia="仿宋_GB2312"/>
                <w:sz w:val="24"/>
              </w:rPr>
              <w:t>第二版</w:t>
            </w:r>
          </w:p>
        </w:tc>
      </w:tr>
    </w:tbl>
    <w:p>
      <w:pPr>
        <w:spacing w:line="280" w:lineRule="exact"/>
        <w:ind w:right="-493" w:rightChars="-235" w:firstLine="720" w:firstLineChars="300"/>
        <w:rPr>
          <w:rFonts w:hint="eastAsia" w:ascii="仿宋_GB2312" w:hAnsi="仿宋" w:eastAsia="仿宋_GB2312"/>
          <w:sz w:val="24"/>
        </w:rPr>
      </w:pPr>
    </w:p>
    <w:p>
      <w:pPr>
        <w:spacing w:line="280" w:lineRule="exact"/>
        <w:ind w:right="-493" w:rightChars="-235" w:firstLine="720" w:firstLineChars="300"/>
        <w:rPr>
          <w:rFonts w:hint="eastAsia" w:ascii="仿宋_GB2312" w:hAnsi="仿宋" w:eastAsia="仿宋_GB2312"/>
          <w:sz w:val="24"/>
          <w:lang w:eastAsia="zh-CN"/>
        </w:rPr>
      </w:pPr>
      <w:r>
        <w:rPr>
          <w:rFonts w:hint="eastAsia" w:ascii="仿宋_GB2312" w:hAnsi="仿宋" w:eastAsia="仿宋_GB2312"/>
          <w:sz w:val="24"/>
        </w:rPr>
        <w:t>注：本表中</w:t>
      </w:r>
      <w:r>
        <w:rPr>
          <w:rFonts w:hint="eastAsia" w:ascii="仿宋_GB2312" w:hAnsi="仿宋" w:eastAsia="仿宋_GB2312"/>
          <w:sz w:val="24"/>
          <w:lang w:eastAsia="zh-CN"/>
        </w:rPr>
        <w:t>法学科目考试大纲第五版（修订稿）的电子版可在信息平台中下载；</w:t>
      </w:r>
    </w:p>
    <w:p>
      <w:pPr>
        <w:spacing w:line="280" w:lineRule="exact"/>
        <w:ind w:right="-493" w:rightChars="-235"/>
        <w:rPr>
          <w:rFonts w:hint="eastAsia" w:ascii="仿宋_GB2312" w:hAnsi="仿宋" w:eastAsia="仿宋_GB2312"/>
          <w:sz w:val="24"/>
        </w:rPr>
      </w:pPr>
      <w:r>
        <w:rPr>
          <w:rFonts w:hint="eastAsia" w:ascii="仿宋_GB2312" w:hAnsi="仿宋" w:eastAsia="仿宋_GB2312"/>
          <w:sz w:val="24"/>
          <w:lang w:eastAsia="zh-CN"/>
        </w:rPr>
        <w:t>其他</w:t>
      </w:r>
      <w:r>
        <w:rPr>
          <w:rFonts w:hint="eastAsia" w:ascii="仿宋_GB2312" w:hAnsi="仿宋" w:eastAsia="仿宋_GB2312"/>
          <w:sz w:val="24"/>
        </w:rPr>
        <w:t>考试大纲及指南均由高等教育出版社出版发行。</w:t>
      </w:r>
    </w:p>
    <w:p>
      <w:pPr>
        <w:spacing w:line="280" w:lineRule="exact"/>
        <w:ind w:right="-493" w:rightChars="-235" w:firstLine="720" w:firstLineChars="300"/>
        <w:rPr>
          <w:rFonts w:hint="eastAsia" w:ascii="仿宋_GB2312" w:hAnsi="仿宋" w:eastAsia="仿宋_GB2312"/>
          <w:sz w:val="24"/>
          <w:lang w:eastAsia="zh-CN"/>
        </w:rPr>
      </w:pPr>
      <w:r>
        <w:rPr>
          <w:rFonts w:hint="eastAsia" w:ascii="仿宋_GB2312" w:eastAsia="仿宋_GB2312"/>
          <w:sz w:val="24"/>
        </w:rPr>
        <w:t>*</w:t>
      </w:r>
      <w:r>
        <w:rPr>
          <w:rFonts w:hint="eastAsia" w:ascii="仿宋_GB2312" w:hAnsi="仿宋" w:eastAsia="仿宋_GB2312"/>
          <w:sz w:val="24"/>
        </w:rPr>
        <w:t>申请马克思主义理论学科硕士学位的人员，可选考哲学或政治学学科综合水平</w:t>
      </w:r>
      <w:r>
        <w:rPr>
          <w:rFonts w:hint="eastAsia" w:ascii="仿宋_GB2312" w:hAnsi="仿宋" w:eastAsia="仿宋_GB2312"/>
          <w:sz w:val="24"/>
          <w:lang w:eastAsia="zh-CN"/>
        </w:rPr>
        <w:t>；</w:t>
      </w:r>
    </w:p>
    <w:p>
      <w:pPr>
        <w:spacing w:line="280" w:lineRule="exact"/>
        <w:ind w:right="-493" w:rightChars="-235"/>
        <w:rPr>
          <w:rFonts w:hint="eastAsia" w:ascii="仿宋_GB2312" w:eastAsia="仿宋_GB2312"/>
          <w:sz w:val="24"/>
        </w:rPr>
      </w:pPr>
      <w:r>
        <w:rPr>
          <w:rFonts w:hint="eastAsia" w:ascii="仿宋_GB2312" w:hAnsi="仿宋" w:eastAsia="仿宋_GB2312"/>
          <w:sz w:val="24"/>
        </w:rPr>
        <w:t>申请教育经济与管理专业硕士学位的人员，可选考公共管理或教育学学科综合水平考试。</w:t>
      </w:r>
    </w:p>
    <w:p>
      <w:pPr>
        <w:spacing w:line="360" w:lineRule="exact"/>
        <w:rPr>
          <w:rFonts w:hint="eastAsia" w:ascii="仿宋_GB2312" w:eastAsia="仿宋_GB2312"/>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GB-2312">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C1167"/>
    <w:rsid w:val="5C144854"/>
    <w:rsid w:val="736C11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2018-03-06T03:53:00Z</dcterms:created>
  <dc:creator>aaa</dc:creator>
  <cp:lastModifiedBy>aaa</cp:lastModifiedBy>
  <dcterms:modified xsi:type="dcterms:W3CDTF">2018-03-06T03:54:48Z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