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06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top"/>
          </w:tcPr>
          <w:p>
            <w:pPr>
              <w:spacing w:before="93" w:beforeLines="30" w:after="93" w:afterLines="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0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22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试  大  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741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color w:val="000000"/>
              </w:rPr>
              <w:t>501</w:t>
            </w:r>
          </w:p>
        </w:tc>
        <w:tc>
          <w:tcPr>
            <w:tcW w:w="160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建筑设计</w:t>
            </w:r>
          </w:p>
        </w:tc>
        <w:tc>
          <w:tcPr>
            <w:tcW w:w="6221" w:type="dxa"/>
            <w:vAlign w:val="top"/>
          </w:tcPr>
          <w:p>
            <w:r>
              <w:rPr>
                <w:rFonts w:hint="eastAsia"/>
              </w:rPr>
              <w:t>设计内容：中等规模公共建筑，重点解决环境空间及建筑造型等设计问题。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t>建筑与环境的处理、建筑的适应性及可行性、建筑分析与表达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2017-09-22T09:30:13Z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