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rPr>
          <w:b/>
          <w:color w:val="666666"/>
          <w:sz w:val="30"/>
          <w:szCs w:val="30"/>
        </w:rPr>
      </w:pPr>
      <w:r>
        <w:rPr>
          <w:b/>
          <w:color w:val="666666"/>
          <w:sz w:val="30"/>
          <w:szCs w:val="30"/>
          <w:bdr w:val="none" w:color="auto" w:sz="0" w:space="0"/>
          <w:shd w:val="clear" w:fill="FFFFFF"/>
        </w:rPr>
        <w:t>深圳大学2018年硕士研究生入学考试大纲、参考书目</w:t>
      </w:r>
    </w:p>
    <w:p>
      <w:pPr>
        <w:pStyle w:val="3"/>
        <w:keepNext w:val="0"/>
        <w:keepLines w:val="0"/>
        <w:widowControl/>
        <w:suppressLineNumbers w:val="0"/>
        <w:spacing w:before="0" w:beforeAutospacing="0" w:after="0" w:afterAutospacing="0" w:line="210" w:lineRule="atLeast"/>
        <w:ind w:left="0" w:right="0"/>
        <w:jc w:val="center"/>
        <w:rPr>
          <w:b/>
          <w:color w:val="333333"/>
          <w:sz w:val="21"/>
          <w:szCs w:val="21"/>
        </w:rPr>
      </w:pPr>
      <w:r>
        <w:rPr>
          <w:b/>
          <w:color w:val="333333"/>
          <w:sz w:val="21"/>
          <w:szCs w:val="21"/>
        </w:rPr>
        <w:t>（初试科目只提供考试大纲，复试科目只提供参考书目）</w:t>
      </w:r>
    </w:p>
    <w:p>
      <w:pPr>
        <w:keepNext w:val="0"/>
        <w:keepLines w:val="0"/>
        <w:widowControl/>
        <w:suppressLineNumbers w:val="0"/>
        <w:pBdr>
          <w:left w:val="none" w:color="auto" w:sz="0" w:space="0"/>
          <w:right w:val="none" w:color="auto" w:sz="0" w:space="0"/>
        </w:pBdr>
        <w:ind w:left="-120" w:right="-120"/>
        <w:jc w:val="left"/>
      </w:pPr>
      <w:r>
        <w:rPr>
          <w:rFonts w:ascii="宋体" w:hAnsi="宋体" w:eastAsia="宋体" w:cs="宋体"/>
          <w:kern w:val="0"/>
          <w:sz w:val="24"/>
          <w:szCs w:val="24"/>
          <w:bdr w:val="none" w:color="auto" w:sz="0" w:space="0"/>
          <w:lang w:val="en-US" w:eastAsia="zh-CN" w:bidi="ar"/>
        </w:rPr>
        <w:t>命题学院/部门（盖章）：外国语学院</w:t>
      </w:r>
    </w:p>
    <w:p>
      <w:pPr>
        <w:keepNext w:val="0"/>
        <w:keepLines w:val="0"/>
        <w:widowControl/>
        <w:suppressLineNumbers w:val="0"/>
        <w:pBdr>
          <w:left w:val="none" w:color="auto" w:sz="0" w:space="0"/>
          <w:right w:val="none" w:color="auto" w:sz="0" w:space="0"/>
        </w:pBdr>
        <w:ind w:left="-120" w:right="-120"/>
        <w:jc w:val="left"/>
      </w:pPr>
      <w:r>
        <w:rPr>
          <w:rFonts w:ascii="宋体" w:hAnsi="宋体" w:eastAsia="宋体" w:cs="宋体"/>
          <w:kern w:val="0"/>
          <w:sz w:val="24"/>
          <w:szCs w:val="24"/>
          <w:bdr w:val="none" w:color="auto" w:sz="0" w:space="0"/>
          <w:lang w:val="en-US" w:eastAsia="zh-CN" w:bidi="ar"/>
        </w:rPr>
        <w:t>考试科目代码及名称：[243 ]</w:t>
      </w:r>
      <w:bookmarkStart w:id="0" w:name="_GoBack"/>
      <w:r>
        <w:rPr>
          <w:rFonts w:ascii="宋体" w:hAnsi="宋体" w:eastAsia="宋体" w:cs="宋体"/>
          <w:kern w:val="0"/>
          <w:sz w:val="24"/>
          <w:szCs w:val="24"/>
          <w:bdr w:val="none" w:color="auto" w:sz="0" w:space="0"/>
          <w:lang w:val="en-US" w:eastAsia="zh-CN" w:bidi="ar"/>
        </w:rPr>
        <w:t>英语(二外)</w:t>
      </w:r>
      <w:bookmarkEnd w:id="0"/>
    </w:p>
    <w:p>
      <w:pPr>
        <w:keepNext w:val="0"/>
        <w:keepLines w:val="0"/>
        <w:widowControl/>
        <w:suppressLineNumbers w:val="0"/>
        <w:pBdr>
          <w:left w:val="none" w:color="auto" w:sz="0" w:space="0"/>
          <w:right w:val="none" w:color="auto" w:sz="0" w:space="0"/>
        </w:pBdr>
        <w:shd w:val="clear" w:fill="FFFFFF"/>
        <w:spacing w:line="300" w:lineRule="atLeast"/>
        <w:ind w:left="-120" w:right="-120" w:firstLine="0"/>
        <w:jc w:val="left"/>
        <w:rPr>
          <w:rFonts w:hint="default" w:ascii="Hiragino Sans GB" w:hAnsi="Hiragino Sans GB" w:eastAsia="Hiragino Sans GB" w:cs="Hiragino Sans GB"/>
          <w:b w:val="0"/>
          <w:i w:val="0"/>
          <w:caps w:val="0"/>
          <w:color w:val="333333"/>
          <w:spacing w:val="0"/>
          <w:kern w:val="0"/>
          <w:sz w:val="18"/>
          <w:szCs w:val="18"/>
          <w:bdr w:val="none" w:color="auto" w:sz="0" w:space="0"/>
          <w:shd w:val="clear" w:fill="FFFFFF"/>
          <w:lang w:val="en-US" w:eastAsia="zh-CN" w:bidi="ar"/>
        </w:rPr>
      </w:pPr>
      <w:r>
        <w:rPr>
          <w:rFonts w:hint="default" w:ascii="Hiragino Sans GB" w:hAnsi="Hiragino Sans GB" w:eastAsia="Hiragino Sans GB" w:cs="Hiragino Sans GB"/>
          <w:b w:val="0"/>
          <w:i w:val="0"/>
          <w:caps w:val="0"/>
          <w:color w:val="333333"/>
          <w:spacing w:val="0"/>
          <w:kern w:val="0"/>
          <w:sz w:val="18"/>
          <w:szCs w:val="18"/>
          <w:bdr w:val="none" w:color="auto" w:sz="0" w:space="0"/>
          <w:shd w:val="clear" w:fill="FFFFFF"/>
          <w:lang w:val="en-US" w:eastAsia="zh-CN" w:bidi="ar"/>
        </w:rPr>
        <w:t>说明：</w:t>
      </w:r>
    </w:p>
    <w:p>
      <w:pPr>
        <w:keepNext w:val="0"/>
        <w:keepLines w:val="0"/>
        <w:widowControl/>
        <w:suppressLineNumbers w:val="0"/>
        <w:pBdr>
          <w:left w:val="none" w:color="auto" w:sz="0" w:space="0"/>
          <w:right w:val="none" w:color="auto" w:sz="0" w:space="0"/>
        </w:pBdr>
        <w:shd w:val="clear" w:fill="FFFFFF"/>
        <w:spacing w:line="300" w:lineRule="atLeast"/>
        <w:ind w:left="-120" w:right="-120" w:firstLine="0"/>
        <w:jc w:val="left"/>
        <w:rPr>
          <w:rFonts w:hint="default" w:ascii="Hiragino Sans GB" w:hAnsi="Hiragino Sans GB" w:eastAsia="Hiragino Sans GB" w:cs="Hiragino Sans GB"/>
          <w:b w:val="0"/>
          <w:i w:val="0"/>
          <w:caps w:val="0"/>
          <w:color w:val="333333"/>
          <w:spacing w:val="0"/>
          <w:kern w:val="0"/>
          <w:sz w:val="18"/>
          <w:szCs w:val="18"/>
          <w:bdr w:val="none" w:color="auto" w:sz="0" w:space="0"/>
          <w:shd w:val="clear" w:fill="FFFFFF"/>
          <w:lang w:val="en-US" w:eastAsia="zh-CN" w:bidi="ar"/>
        </w:rPr>
      </w:pPr>
      <w:r>
        <w:rPr>
          <w:rFonts w:ascii="Hiragino Sans GB" w:hAnsi="Hiragino Sans GB" w:eastAsia="Hiragino Sans GB" w:cs="Hiragino Sans GB"/>
          <w:b/>
          <w:bCs/>
          <w:i w:val="0"/>
          <w:caps w:val="0"/>
          <w:color w:val="000000"/>
          <w:spacing w:val="0"/>
          <w:sz w:val="18"/>
          <w:szCs w:val="18"/>
          <w:shd w:val="clear" w:fill="FFFFFF"/>
        </w:rPr>
        <w:t>一、考试基本要求</w:t>
      </w:r>
      <w:r>
        <w:rPr>
          <w:rFonts w:hint="default" w:ascii="Hiragino Sans GB" w:hAnsi="Hiragino Sans GB" w:eastAsia="Hiragino Sans GB" w:cs="Hiragino Sans GB"/>
          <w:b/>
          <w:bCs/>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    本考试大纲适用于报考深圳大学日语语言文学专业的硕士研究生第二外国语入学考试。要求考生已经修完《大学英语》1-4课程，较熟练地掌握英语语法和词汇方面的知识，并能够运用这些知识进行阅读、理解、翻译和写作。</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bCs/>
          <w:i w:val="0"/>
          <w:caps w:val="0"/>
          <w:color w:val="000000"/>
          <w:spacing w:val="0"/>
          <w:sz w:val="18"/>
          <w:szCs w:val="18"/>
          <w:shd w:val="clear" w:fill="FFFFFF"/>
        </w:rPr>
        <w:t>二、考试内容和考试要求(注：总分100分)</w:t>
      </w:r>
      <w:r>
        <w:rPr>
          <w:rFonts w:hint="default" w:ascii="Hiragino Sans GB" w:hAnsi="Hiragino Sans GB" w:eastAsia="Hiragino Sans GB" w:cs="Hiragino Sans GB"/>
          <w:b/>
          <w:bCs/>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考生应掌握下列语言知识和技能：</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（一）语言知识</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1. 语法知识：考生应能熟练地运用基本的语法知识。</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2. 词汇：考生应能掌握5500左右的词汇及相关词组。除掌握词汇的基本含义外，考生还应掌握词汇之间的词义关系，如同义词、近义词、反义词等；掌握词汇之间的搭配关系，如动词与介词、形容词与介词、形容词与名词等；掌握词汇生成的基本知识，如词源、词根、词缀等。考虑到交际的需要，考生还应自行掌握与本人工作或专业相关的词汇，以及涉及个人好恶、生活习惯和宗教信仰等方面的词汇。</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（二）语言技能</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1、阅读：   考生应能读懂选自各类书籍和报刊的不同类型文字材料（生词量不超过所读材料总词汇量地3%），还应能读懂与本人学习或工作有关的文献资料、技术说明和产品介绍等。对所读材料，考生应能：</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1） 理解主旨要义；</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2） 理解文中的具体信息；</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3） 理解文中的概念性含义；</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4） 进行有关的判断、推理和引申；</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5） 根据上下文推测生词的词义；</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6） 理解文章的总体结构以及上下文之间的关系；</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7） 理解作者的意图、观点或态度；</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8） 区分论点和论据。</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2、翻译：考生应有一定的中英文语言素质，能将两种语言进行转换，考生应能：</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1）    准确理解文中传达的信息；</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2）    能将文中的信息用另一种语言表达出来；</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3）    能够灵活地、熟练地运用语法手段和修辞技巧；</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4）    体现一定的文化素养和逻辑思维能力。</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3、写作：考生应能写不同类型的应用文，包括私人和公务信函、备忘录、摘要、报告等，以及一般描述性、叙述性或议论性的文章。写作时，考生应能：</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1） 做到语法、拼写、标点正确，用词恰当；</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2） 遵循文章的特定文体格式；</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3） 合理文章结构，使其内容统一、连贯；</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4） 根据写作目的和特定读者，恰当选用语域。</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bCs/>
          <w:i w:val="0"/>
          <w:caps w:val="0"/>
          <w:color w:val="000000"/>
          <w:spacing w:val="0"/>
          <w:sz w:val="18"/>
          <w:szCs w:val="18"/>
          <w:shd w:val="clear" w:fill="FFFFFF"/>
        </w:rPr>
        <w:t>三、考试形式、考试内容与试卷结构</w:t>
      </w:r>
      <w:r>
        <w:rPr>
          <w:rFonts w:hint="default" w:ascii="Hiragino Sans GB" w:hAnsi="Hiragino Sans GB" w:eastAsia="Hiragino Sans GB" w:cs="Hiragino Sans GB"/>
          <w:b/>
          <w:bCs/>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（一）考试形式：考试形式为笔试。考试时间为180分钟。满分为100分。试卷包括试题册和答题卡。</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（二）考试内容与试卷结构：试题分四部分，包括英语知识运用、阅读理解、翻译和写作。</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第一部分   英语知识运用：该部分不仅考查考生对不同语境中规范的语言要素（包括词汇、表达方式和结构）的掌握程度，而且还考查考生对语段特征（如连贯性和一致性等）的辨识能力等。</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第二部分   阅读理解：该部分由A、B两节组成，考查考生理解书面英语的能力。</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A节：主要考查考生理解主旨要义、具体信息、概念性含义，进行有关的判断、推理和引申，根据上下文推测生词的词义等能力，一般为选择题。</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B 节：主要考查考生对诸如连贯性、一致性等语段特征以及文章结构的理解。题型有：选段填空、段落排序和选择标题等。</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第三部分  翻译</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该部分主要考查考生语言理解与翻译能力。要求考生阅读一至两篇短文章，并将其译成汉语或英语，要求译文准确、完整、通顺。</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第四部分  写作</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该部分由A、B两节组成，主要考查考生的书面表达能力。</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A节：题型有两种，每次考试选择其中的一种形式。</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1） 考生根据所给情景写出约100词（标点符号不计算在内）的应用性短文，包括私人和公务信函、备忘录、报告等。</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2） 要求考生根据所提供的汉语文章，用英语写出一篇80-100词的文章摘要。</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B节：考生根据提示信息写出一篇160-200词的短文（标点符号不计算在内）。提示信息的形式有主题句、写作提纲、规定情景、图、表等。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3757B"/>
    <w:rsid w:val="40637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2017-08-21T02:23:00Z</dcterms:created>
  <dc:creator>Administrator</dc:creator>
  <cp:lastModifiedBy>Administrator</cp:lastModifiedBy>
  <dcterms:modified xsi:type="dcterms:W3CDTF">2017-08-21T02:26:14Z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