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一、报考说明</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　　与我所学科相关专业的推免生、应届本科生和具有学士学位的往届本科生。</w:t>
      </w:r>
    </w:p>
    <w:p>
      <w:pPr>
        <w:pStyle w:val="2"/>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二、医工所简介</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　　中国科学院苏州生物医学工程技术研究所（简称“苏州医工所”）是中国科学院唯一以生物医学仪器、试剂和生物材料为主要研发方向的国立研究机构。自2012年11月正式成立以来，研究所始终秉承“忠诚务实合作创新”的发展理念，定位于“面向我国生物医学的重大需求，开展先进生物医学仪器、试剂和生物材料等方面的基础性、战略性、前瞻性的研究工作，引领我国生物医学工程技术的发展，建成医疗仪器科技创新与成果转化平台”。</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研究所围绕医用光学技术、医学检验技术、康复工程技术等研究方向，设立了6个研究室。已建成中国科学院生物医学检验技术重点实验室、江苏省医用光学重点实验室、6个苏州市高技术研究重点实验室。研究所园区占地面积208亩，现有总建筑面积7.8万平方米的科研及配套用房，装备投入1.9亿元，总资产6.1亿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截止2016年1月底，人员总量 433人：其中千人计划5人，万人计划1人，百人计划14人，江苏省双创人才14人；研究员36人，副研究员40人；博士后17人。硕士及以上学历占92%，35岁及以下青年职工占75%。累计授权专利300余项；发表高水平研究论文500余篇。共承担国家、中科院及省市各类科技项目、军工项目、企业委托项目近300项；其中，国家重大仪器专项——“超分辨显微光学核心部件及系统研制”项目签订合同额1.7亿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为了推进科教结合，培养具有国际视野的创新型人才，在中国科教结合培养人才方面起到引领示范作用，按照中国科学院的统一部署，自2016年起，苏州医工所研究生教育工作由原先归口中国科学院大学调整归口中国科学技术大学，即苏州医工所研究生学籍调整为中国科学技术大学学籍，研究生毕业将颁发和授予中国科学技术大学毕业证书和学位证书。</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目前，我所现有博士生导师27人，硕士生导师37人。在学研究生143人，截止到2016年6月，我所研究生共有2人获得中科院院长优秀奖，2人获得中科院朱李月华优秀博士生奖学金，5人赴国外高水平大学或科研机构进行研究工作或攻读博士学位。我所研究生住宿为5人一套间，每人拥有独立的卧室，配备卫生间、热水器、空调、网线和齐全的家具，并免收住宿费。入所后，硕士生待遇不低于1500元/月，博士生不低于2900元/月，同时提供饭补并办理苏州市大学生医保及人身意外险。2017年预计在生物学、生物医学工程、光学工程及机械电子工程等相关专业招生，拟招收硕士生17人，预计接收推荐免试生11人。</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苏州医工所欢迎并鼓励基础扎实，光学、电子、机械、生物医学工程、生物等相关专业或相近专业考生报考我所。</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更多信息请登陆苏州医工所网站www.sibet.ac.cn，或发送邮件至maozq@sibet.ac.cn。　</w:t>
      </w:r>
    </w:p>
    <w:p>
      <w:pPr>
        <w:pStyle w:val="2"/>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三、联系方式</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　　网址：www.sibet.ac.cn</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地址：江苏省苏州市高新区科技城科灵路88号</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邮编：215163</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电话：0512-69588025</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联系部门：人事教育处</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联系人：毛志清</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Email：maozq@sibet.ac.cn</w:t>
      </w:r>
    </w:p>
    <w:p>
      <w:pPr>
        <w:pStyle w:val="2"/>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四、招生专业、研究方向及导师</w:t>
      </w:r>
    </w:p>
    <w:tbl>
      <w:tblPr>
        <w:tblW w:w="8483" w:type="dxa"/>
        <w:tblCellSpacing w:w="7" w:type="dxa"/>
        <w:tblInd w:w="0" w:type="dxa"/>
        <w:shd w:val="clear" w:color="auto" w:fill="CCCCCC"/>
        <w:tblLayout w:type="fixed"/>
        <w:tblCellMar>
          <w:top w:w="0" w:type="dxa"/>
          <w:left w:w="0" w:type="dxa"/>
          <w:bottom w:w="0" w:type="dxa"/>
          <w:right w:w="0" w:type="dxa"/>
        </w:tblCellMar>
      </w:tblPr>
      <w:tblGrid>
        <w:gridCol w:w="1383"/>
        <w:gridCol w:w="5036"/>
        <w:gridCol w:w="2064"/>
      </w:tblGrid>
      <w:tr>
        <w:tblPrEx>
          <w:shd w:val="clear" w:color="auto" w:fill="CCCCCC"/>
          <w:tblLayout w:type="fixed"/>
          <w:tblCellMar>
            <w:top w:w="0" w:type="dxa"/>
            <w:left w:w="0" w:type="dxa"/>
            <w:bottom w:w="0" w:type="dxa"/>
            <w:right w:w="0" w:type="dxa"/>
          </w:tblCellMar>
        </w:tblPrEx>
        <w:trPr>
          <w:tblCellSpacing w:w="7" w:type="dxa"/>
        </w:trPr>
        <w:tc>
          <w:tcPr>
            <w:tcW w:w="1362" w:type="dxa"/>
            <w:shd w:val="clear" w:color="auto" w:fill="003366"/>
            <w:tcMar>
              <w:left w:w="150" w:type="dxa"/>
            </w:tcMar>
            <w:vAlign w:val="top"/>
          </w:tcPr>
          <w:p>
            <w:pPr>
              <w:pStyle w:val="4"/>
              <w:keepNext w:val="0"/>
              <w:keepLines w:val="0"/>
              <w:widowControl/>
              <w:suppressLineNumbers w:val="0"/>
              <w:spacing w:line="330" w:lineRule="atLeast"/>
              <w:jc w:val="left"/>
            </w:pPr>
            <w:r>
              <w:rPr>
                <w:rStyle w:val="6"/>
                <w:rFonts w:hint="eastAsia" w:ascii="宋体" w:hAnsi="宋体" w:eastAsia="宋体" w:cs="宋体"/>
                <w:i w:val="0"/>
                <w:caps w:val="0"/>
                <w:color w:val="FFFFFF"/>
                <w:spacing w:val="0"/>
                <w:sz w:val="18"/>
                <w:szCs w:val="18"/>
                <w:u w:val="none"/>
                <w:bdr w:val="none" w:color="auto" w:sz="0" w:space="0"/>
              </w:rPr>
              <w:t>招生专业</w:t>
            </w:r>
          </w:p>
        </w:tc>
        <w:tc>
          <w:tcPr>
            <w:tcW w:w="5024" w:type="dxa"/>
            <w:shd w:val="clear" w:color="auto" w:fill="003366"/>
            <w:tcMar>
              <w:left w:w="150" w:type="dxa"/>
            </w:tcMar>
            <w:vAlign w:val="top"/>
          </w:tcPr>
          <w:p>
            <w:pPr>
              <w:pStyle w:val="4"/>
              <w:keepNext w:val="0"/>
              <w:keepLines w:val="0"/>
              <w:widowControl/>
              <w:suppressLineNumbers w:val="0"/>
              <w:spacing w:line="330" w:lineRule="atLeast"/>
              <w:jc w:val="left"/>
            </w:pPr>
            <w:r>
              <w:rPr>
                <w:rStyle w:val="6"/>
                <w:rFonts w:hint="eastAsia" w:ascii="宋体" w:hAnsi="宋体" w:eastAsia="宋体" w:cs="宋体"/>
                <w:i w:val="0"/>
                <w:caps w:val="0"/>
                <w:color w:val="FFFFFF"/>
                <w:spacing w:val="0"/>
                <w:sz w:val="18"/>
                <w:szCs w:val="18"/>
                <w:u w:val="none"/>
                <w:bdr w:val="none" w:color="auto" w:sz="0" w:space="0"/>
              </w:rPr>
              <w:t>研究方向</w:t>
            </w:r>
          </w:p>
        </w:tc>
        <w:tc>
          <w:tcPr>
            <w:tcW w:w="2043" w:type="dxa"/>
            <w:shd w:val="clear" w:color="auto" w:fill="003366"/>
            <w:tcMar>
              <w:left w:w="150" w:type="dxa"/>
            </w:tcMar>
            <w:vAlign w:val="top"/>
          </w:tcPr>
          <w:p>
            <w:pPr>
              <w:pStyle w:val="4"/>
              <w:keepNext w:val="0"/>
              <w:keepLines w:val="0"/>
              <w:widowControl/>
              <w:suppressLineNumbers w:val="0"/>
              <w:spacing w:line="330" w:lineRule="atLeast"/>
              <w:jc w:val="left"/>
            </w:pPr>
            <w:r>
              <w:rPr>
                <w:rStyle w:val="6"/>
                <w:rFonts w:hint="eastAsia" w:ascii="宋体" w:hAnsi="宋体" w:eastAsia="宋体" w:cs="宋体"/>
                <w:i w:val="0"/>
                <w:caps w:val="0"/>
                <w:color w:val="FFFFFF"/>
                <w:spacing w:val="0"/>
                <w:sz w:val="18"/>
                <w:szCs w:val="18"/>
                <w:u w:val="none"/>
                <w:bdr w:val="none" w:color="auto" w:sz="0" w:space="0"/>
              </w:rPr>
              <w:t>导师</w:t>
            </w:r>
          </w:p>
        </w:tc>
      </w:tr>
      <w:tr>
        <w:tblPrEx>
          <w:tblLayout w:type="fixed"/>
          <w:tblCellMar>
            <w:top w:w="0" w:type="dxa"/>
            <w:left w:w="0" w:type="dxa"/>
            <w:bottom w:w="0" w:type="dxa"/>
            <w:right w:w="0" w:type="dxa"/>
          </w:tblCellMar>
        </w:tblPrEx>
        <w:trPr>
          <w:tblCellSpacing w:w="7" w:type="dxa"/>
        </w:trPr>
        <w:tc>
          <w:tcPr>
            <w:tcW w:w="1362"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生物学（071000）</w:t>
            </w: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1、纳米医学；纳米传感器</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董文飞*</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2、生物标志物的研究；肿瘤的分子机制；精准医学</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高山*</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3、核酸杂交热力学在临床分子诊断领域的应用</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郑岷雪*</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4、腺相关病毒（AAV）基因治疗；基因定点整合</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张春*</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5、癌症的早期筛查和诊断</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马勇*</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6、体外免疫荧光诊断；PET/SPET显像剂</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彭义杰*</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7、临床蛋白质组学；精准医学；核酸体外诊断试剂和技术</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胡军*</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8、神经生理；动物遗传</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孙敏轩</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9、干细胞治疗帕金森病的研究</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张京钟</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10、神经退行性疾病的早期诊断</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余爽</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11、快速生物监测技术与方法；微生物与免疫学</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尹焕才</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12、细胞膜蛋白原位解析；细胞生物学与免疫学</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殷建</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13、血液免疫学；免疫遗传</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丁少华</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14、纳米生物传感研究</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韩坤</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15、体外诊断；输血安全</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王红梅</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16、生物光子学与生物电化学</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缪鹏</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17、生物化学、生物医学传感技术</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张威</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18、标记免疫分析；微纳米材料</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白鹏利</w:t>
            </w:r>
          </w:p>
        </w:tc>
      </w:tr>
      <w:tr>
        <w:tblPrEx>
          <w:tblLayout w:type="fixed"/>
          <w:tblCellMar>
            <w:top w:w="0" w:type="dxa"/>
            <w:left w:w="0" w:type="dxa"/>
            <w:bottom w:w="0" w:type="dxa"/>
            <w:right w:w="0" w:type="dxa"/>
          </w:tblCellMar>
        </w:tblPrEx>
        <w:trPr>
          <w:tblCellSpacing w:w="7" w:type="dxa"/>
        </w:trPr>
        <w:tc>
          <w:tcPr>
            <w:tcW w:w="1362"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机械电子工程（080202）</w:t>
            </w: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1、光机电集成计算机仿真设计技术</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杨洪波*</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2、仪器精密机电技术</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周连群*</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3、可靠性设计及验证、测试技术与测试性</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于波</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4、机电一体化</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于涌</w:t>
            </w:r>
          </w:p>
        </w:tc>
      </w:tr>
      <w:tr>
        <w:tblPrEx>
          <w:tblLayout w:type="fixed"/>
          <w:tblCellMar>
            <w:top w:w="0" w:type="dxa"/>
            <w:left w:w="0" w:type="dxa"/>
            <w:bottom w:w="0" w:type="dxa"/>
            <w:right w:w="0" w:type="dxa"/>
          </w:tblCellMar>
        </w:tblPrEx>
        <w:trPr>
          <w:tblCellSpacing w:w="7" w:type="dxa"/>
        </w:trPr>
        <w:tc>
          <w:tcPr>
            <w:tcW w:w="1362"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光学工程（080300）</w:t>
            </w: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1、光谱技术</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唐玉国*</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2、医用激光技术；医用光学成像技术</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武晓东*</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3、应用光电子技术</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熊大曦*</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4、显微光学成像；近红外成像技术</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张运海*</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5、显微光学</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李辉*</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6、生物医学光子学；医用光学成像；光学相干层析成像</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史国华*</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7、光学检测</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王成*</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8、超分辨光学显微系统设计</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巩岩*</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9、全固态激光及其变频技术</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高静*</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10、临床检验医疗仪器</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王弼陡*</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11、电磁兼容，信号完整性研究</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陈晓禾*</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12、激光医用仪器</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顾华东</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13、光栅制造、检测及应用</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李英志</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14、光学显微成像技术，超分辨显微成像</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杨西斌</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15、医用激光技术及其设备研究</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崔锦江</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16、医用激光技术研究</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董宁宁</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17、医用颧骨体激光器设计及非线性频率变换技术的研究</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田玉冰</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18、医用机器视觉检测与模式识别；光电医疗仪器</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付威威</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19、临床检验分析仪器</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罗刚银</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20、即时检测技术</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孙海旋</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21、生物医学图像处理</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王心醉</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22、光声成像</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简小华</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23、激光变频技术及其应用</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姚文明</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24、光场调控、超分辨成像</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李思黾</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25、生物光子学及流式细胞术</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王策</w:t>
            </w:r>
          </w:p>
        </w:tc>
      </w:tr>
      <w:tr>
        <w:tblPrEx>
          <w:tblLayout w:type="fixed"/>
          <w:tblCellMar>
            <w:top w:w="0" w:type="dxa"/>
            <w:left w:w="0" w:type="dxa"/>
            <w:bottom w:w="0" w:type="dxa"/>
            <w:right w:w="0" w:type="dxa"/>
          </w:tblCellMar>
        </w:tblPrEx>
        <w:trPr>
          <w:tblCellSpacing w:w="7" w:type="dxa"/>
        </w:trPr>
        <w:tc>
          <w:tcPr>
            <w:tcW w:w="1362"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生物医学工程（083100）</w:t>
            </w: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1、医学超声；医学影像；信号处理</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崔崤峣*</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2、磁共振；医学影像；原子核物理</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杨晓冬*</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3、智能影像分析；远程移动医疗</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戴亚康*</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4、信号处理；医用电子学；神经科学</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王守岩*</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5、医用射线成像（X光/CT/SPECT）技术</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孙明山*</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6、低剂量X射线成像；介入手术导航；医学大数据应用</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高欣*</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7、微纳生物传感器及其系统</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周连群*</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8、医学影像分析处理与可视化</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赵凌霄*</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9、智能医学影像计算、先进X射线成像</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郑健</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10、微弱信号检测；嵌入式系统</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程文播</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11、生物医学传感器及微纳加工技术</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黎海文</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12、生物传感；石墨电子学；DNA电子学</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刘首鹏</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13、医用微纳技术及传感器件</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郭振</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14、压电换能器；压电变压器及压电材料的应用</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邵维维</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15、医学信息学及工程</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王磊</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16、医学图像处理</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周志勇</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17、压电驱动器</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马玉婷</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18、康复工程技术</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杨洪波*、于涌、刘斌</w:t>
            </w:r>
          </w:p>
        </w:tc>
      </w:tr>
      <w:tr>
        <w:tblPrEx>
          <w:tblLayout w:type="fixed"/>
          <w:tblCellMar>
            <w:top w:w="0" w:type="dxa"/>
            <w:left w:w="0" w:type="dxa"/>
            <w:bottom w:w="0" w:type="dxa"/>
            <w:right w:w="0" w:type="dxa"/>
          </w:tblCellMar>
        </w:tblPrEx>
        <w:trPr>
          <w:tblCellSpacing w:w="7" w:type="dxa"/>
        </w:trPr>
        <w:tc>
          <w:tcPr>
            <w:tcW w:w="1362"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机械工程（085201）</w:t>
            </w: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1、光机电集成计算机仿真设计技术</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杨洪波*</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2、仪器结构优化设计</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周连群*</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3、机电一体化</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于涌</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4、微流控技术</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黎海文</w:t>
            </w:r>
          </w:p>
        </w:tc>
      </w:tr>
      <w:tr>
        <w:tblPrEx>
          <w:tblLayout w:type="fixed"/>
          <w:tblCellMar>
            <w:top w:w="0" w:type="dxa"/>
            <w:left w:w="0" w:type="dxa"/>
            <w:bottom w:w="0" w:type="dxa"/>
            <w:right w:w="0" w:type="dxa"/>
          </w:tblCellMar>
        </w:tblPrEx>
        <w:trPr>
          <w:tblCellSpacing w:w="7" w:type="dxa"/>
        </w:trPr>
        <w:tc>
          <w:tcPr>
            <w:tcW w:w="1362"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光学工程（085202）</w:t>
            </w: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1、光学显微成像技术，超分辨显微成像</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杨西斌</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2、光声成像</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简小华</w:t>
            </w:r>
          </w:p>
        </w:tc>
      </w:tr>
      <w:tr>
        <w:tblPrEx>
          <w:tblLayout w:type="fixed"/>
          <w:tblCellMar>
            <w:top w:w="0" w:type="dxa"/>
            <w:left w:w="0" w:type="dxa"/>
            <w:bottom w:w="0" w:type="dxa"/>
            <w:right w:w="0" w:type="dxa"/>
          </w:tblCellMar>
        </w:tblPrEx>
        <w:trPr>
          <w:tblCellSpacing w:w="7" w:type="dxa"/>
        </w:trPr>
        <w:tc>
          <w:tcPr>
            <w:tcW w:w="1362"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生物医学工程（085230）</w:t>
            </w: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1、微弱信号检测；嵌入式系统</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程文播</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2、医学图像处理</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周志勇</w:t>
            </w:r>
          </w:p>
        </w:tc>
      </w:tr>
      <w:tr>
        <w:tblPrEx>
          <w:tblLayout w:type="fixed"/>
          <w:tblCellMar>
            <w:top w:w="0" w:type="dxa"/>
            <w:left w:w="0" w:type="dxa"/>
            <w:bottom w:w="0" w:type="dxa"/>
            <w:right w:w="0" w:type="dxa"/>
          </w:tblCellMar>
        </w:tblPrEx>
        <w:trPr>
          <w:tblCellSpacing w:w="7" w:type="dxa"/>
        </w:trPr>
        <w:tc>
          <w:tcPr>
            <w:tcW w:w="1362"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生物工程（085238）</w:t>
            </w: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1、纳米生物传感研究</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韩坤</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502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2、生物光子学与生物电化学</w:t>
            </w:r>
          </w:p>
        </w:tc>
        <w:tc>
          <w:tcPr>
            <w:tcW w:w="204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缪鹏</w:t>
            </w:r>
          </w:p>
        </w:tc>
      </w:tr>
    </w:tbl>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注：带“*”者为博士生导师，优先招收硕博连读生。 </w:t>
      </w:r>
    </w:p>
    <w:p>
      <w:pPr>
        <w:pStyle w:val="2"/>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五、初试科目</w:t>
      </w:r>
    </w:p>
    <w:tbl>
      <w:tblPr>
        <w:tblW w:w="8483" w:type="dxa"/>
        <w:tblCellSpacing w:w="7" w:type="dxa"/>
        <w:tblInd w:w="0" w:type="dxa"/>
        <w:shd w:val="clear" w:color="auto" w:fill="CCCCCC"/>
        <w:tblLayout w:type="fixed"/>
        <w:tblCellMar>
          <w:top w:w="0" w:type="dxa"/>
          <w:left w:w="0" w:type="dxa"/>
          <w:bottom w:w="0" w:type="dxa"/>
          <w:right w:w="0" w:type="dxa"/>
        </w:tblCellMar>
      </w:tblPr>
      <w:tblGrid>
        <w:gridCol w:w="1042"/>
        <w:gridCol w:w="2142"/>
        <w:gridCol w:w="5299"/>
      </w:tblGrid>
      <w:tr>
        <w:tblPrEx>
          <w:shd w:val="clear" w:color="auto" w:fill="CCCCCC"/>
          <w:tblLayout w:type="fixed"/>
          <w:tblCellMar>
            <w:top w:w="0" w:type="dxa"/>
            <w:left w:w="0" w:type="dxa"/>
            <w:bottom w:w="0" w:type="dxa"/>
            <w:right w:w="0" w:type="dxa"/>
          </w:tblCellMar>
        </w:tblPrEx>
        <w:trPr>
          <w:tblCellSpacing w:w="7" w:type="dxa"/>
        </w:trPr>
        <w:tc>
          <w:tcPr>
            <w:tcW w:w="1021" w:type="dxa"/>
            <w:shd w:val="clear" w:color="auto" w:fill="003366"/>
            <w:tcMar>
              <w:left w:w="150" w:type="dxa"/>
            </w:tcMar>
            <w:vAlign w:val="top"/>
          </w:tcPr>
          <w:p>
            <w:pPr>
              <w:pStyle w:val="4"/>
              <w:keepNext w:val="0"/>
              <w:keepLines w:val="0"/>
              <w:widowControl/>
              <w:suppressLineNumbers w:val="0"/>
              <w:spacing w:line="330" w:lineRule="atLeast"/>
              <w:jc w:val="left"/>
            </w:pPr>
            <w:r>
              <w:rPr>
                <w:rStyle w:val="6"/>
                <w:rFonts w:hint="eastAsia" w:ascii="宋体" w:hAnsi="宋体" w:eastAsia="宋体" w:cs="宋体"/>
                <w:i w:val="0"/>
                <w:caps w:val="0"/>
                <w:color w:val="FFFFFF"/>
                <w:spacing w:val="0"/>
                <w:sz w:val="18"/>
                <w:szCs w:val="18"/>
                <w:u w:val="none"/>
                <w:bdr w:val="none" w:color="auto" w:sz="0" w:space="0"/>
              </w:rPr>
              <w:t>专业代码</w:t>
            </w:r>
          </w:p>
        </w:tc>
        <w:tc>
          <w:tcPr>
            <w:tcW w:w="2130" w:type="dxa"/>
            <w:shd w:val="clear" w:color="auto" w:fill="003366"/>
            <w:tcMar>
              <w:left w:w="150" w:type="dxa"/>
            </w:tcMar>
            <w:vAlign w:val="top"/>
          </w:tcPr>
          <w:p>
            <w:pPr>
              <w:pStyle w:val="4"/>
              <w:keepNext w:val="0"/>
              <w:keepLines w:val="0"/>
              <w:widowControl/>
              <w:suppressLineNumbers w:val="0"/>
              <w:spacing w:line="330" w:lineRule="atLeast"/>
              <w:jc w:val="left"/>
            </w:pPr>
            <w:r>
              <w:rPr>
                <w:rStyle w:val="6"/>
                <w:rFonts w:hint="eastAsia" w:ascii="宋体" w:hAnsi="宋体" w:eastAsia="宋体" w:cs="宋体"/>
                <w:i w:val="0"/>
                <w:caps w:val="0"/>
                <w:color w:val="FFFFFF"/>
                <w:spacing w:val="0"/>
                <w:sz w:val="18"/>
                <w:szCs w:val="18"/>
                <w:u w:val="none"/>
                <w:bdr w:val="none" w:color="auto" w:sz="0" w:space="0"/>
              </w:rPr>
              <w:t>专业名称</w:t>
            </w:r>
          </w:p>
        </w:tc>
        <w:tc>
          <w:tcPr>
            <w:tcW w:w="5278" w:type="dxa"/>
            <w:shd w:val="clear" w:color="auto" w:fill="003366"/>
            <w:tcMar>
              <w:left w:w="150" w:type="dxa"/>
            </w:tcMar>
            <w:vAlign w:val="top"/>
          </w:tcPr>
          <w:p>
            <w:pPr>
              <w:pStyle w:val="4"/>
              <w:keepNext w:val="0"/>
              <w:keepLines w:val="0"/>
              <w:widowControl/>
              <w:suppressLineNumbers w:val="0"/>
              <w:spacing w:line="330" w:lineRule="atLeast"/>
              <w:jc w:val="left"/>
            </w:pPr>
            <w:r>
              <w:rPr>
                <w:rStyle w:val="6"/>
                <w:rFonts w:hint="eastAsia" w:ascii="宋体" w:hAnsi="宋体" w:eastAsia="宋体" w:cs="宋体"/>
                <w:i w:val="0"/>
                <w:caps w:val="0"/>
                <w:color w:val="FFFFFF"/>
                <w:spacing w:val="0"/>
                <w:sz w:val="18"/>
                <w:szCs w:val="18"/>
                <w:u w:val="none"/>
                <w:bdr w:val="none" w:color="auto" w:sz="0" w:space="0"/>
              </w:rPr>
              <w:t>考试科目</w:t>
            </w:r>
          </w:p>
        </w:tc>
      </w:tr>
      <w:tr>
        <w:tblPrEx>
          <w:tblLayout w:type="fixed"/>
          <w:tblCellMar>
            <w:top w:w="0" w:type="dxa"/>
            <w:left w:w="0" w:type="dxa"/>
            <w:bottom w:w="0" w:type="dxa"/>
            <w:right w:w="0" w:type="dxa"/>
          </w:tblCellMar>
        </w:tblPrEx>
        <w:trPr>
          <w:tblCellSpacing w:w="7" w:type="dxa"/>
        </w:trPr>
        <w:tc>
          <w:tcPr>
            <w:tcW w:w="1021"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071000</w:t>
            </w:r>
          </w:p>
        </w:tc>
        <w:tc>
          <w:tcPr>
            <w:tcW w:w="2130"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生物学</w:t>
            </w:r>
          </w:p>
        </w:tc>
        <w:tc>
          <w:tcPr>
            <w:tcW w:w="5278"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第一组：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①101思想政治理论；②201英语一；③619生物化学与分子生物学或702普通生物学B；④841细胞生物学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第二组：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①101思想政治理论；②201英语一；③618生理学或621物理化学；④846综合化学</w:t>
            </w:r>
          </w:p>
        </w:tc>
      </w:tr>
      <w:tr>
        <w:tblPrEx>
          <w:tblLayout w:type="fixed"/>
          <w:tblCellMar>
            <w:top w:w="0" w:type="dxa"/>
            <w:left w:w="0" w:type="dxa"/>
            <w:bottom w:w="0" w:type="dxa"/>
            <w:right w:w="0" w:type="dxa"/>
          </w:tblCellMar>
        </w:tblPrEx>
        <w:trPr>
          <w:tblCellSpacing w:w="7" w:type="dxa"/>
        </w:trPr>
        <w:tc>
          <w:tcPr>
            <w:tcW w:w="1021"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080202</w:t>
            </w:r>
          </w:p>
        </w:tc>
        <w:tc>
          <w:tcPr>
            <w:tcW w:w="2130"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机械电子工程</w:t>
            </w:r>
          </w:p>
        </w:tc>
        <w:tc>
          <w:tcPr>
            <w:tcW w:w="5278"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①101思想政治理论；②201英语一；③301数学一；④808电路与电子线路或821机械设计</w:t>
            </w:r>
          </w:p>
        </w:tc>
      </w:tr>
      <w:tr>
        <w:tblPrEx>
          <w:tblLayout w:type="fixed"/>
          <w:tblCellMar>
            <w:top w:w="0" w:type="dxa"/>
            <w:left w:w="0" w:type="dxa"/>
            <w:bottom w:w="0" w:type="dxa"/>
            <w:right w:w="0" w:type="dxa"/>
          </w:tblCellMar>
        </w:tblPrEx>
        <w:trPr>
          <w:tblCellSpacing w:w="7" w:type="dxa"/>
        </w:trPr>
        <w:tc>
          <w:tcPr>
            <w:tcW w:w="1021"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080300</w:t>
            </w:r>
          </w:p>
        </w:tc>
        <w:tc>
          <w:tcPr>
            <w:tcW w:w="2130"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光学工程</w:t>
            </w:r>
          </w:p>
        </w:tc>
        <w:tc>
          <w:tcPr>
            <w:tcW w:w="5278"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第一组：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①101思想政治理论；②201英语一；③301数学一；④808电路与电子线路或814工程光学或821机械设计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第二组：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①101思想政治理论；②201英语一；③301数学一；④832普通物理B或843信号与系统或848自动控制原理</w:t>
            </w:r>
          </w:p>
        </w:tc>
      </w:tr>
      <w:tr>
        <w:tblPrEx>
          <w:tblLayout w:type="fixed"/>
          <w:tblCellMar>
            <w:top w:w="0" w:type="dxa"/>
            <w:left w:w="0" w:type="dxa"/>
            <w:bottom w:w="0" w:type="dxa"/>
            <w:right w:w="0" w:type="dxa"/>
          </w:tblCellMar>
        </w:tblPrEx>
        <w:trPr>
          <w:tblCellSpacing w:w="7" w:type="dxa"/>
        </w:trPr>
        <w:tc>
          <w:tcPr>
            <w:tcW w:w="1021"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083100</w:t>
            </w:r>
          </w:p>
        </w:tc>
        <w:tc>
          <w:tcPr>
            <w:tcW w:w="2130"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生物医学工程</w:t>
            </w:r>
          </w:p>
        </w:tc>
        <w:tc>
          <w:tcPr>
            <w:tcW w:w="5278"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①101思想政治理论；②201英语一；③301数学一；④808电路与电子线路或843信号与系统</w:t>
            </w:r>
          </w:p>
        </w:tc>
      </w:tr>
      <w:tr>
        <w:tblPrEx>
          <w:tblLayout w:type="fixed"/>
          <w:tblCellMar>
            <w:top w:w="0" w:type="dxa"/>
            <w:left w:w="0" w:type="dxa"/>
            <w:bottom w:w="0" w:type="dxa"/>
            <w:right w:w="0" w:type="dxa"/>
          </w:tblCellMar>
        </w:tblPrEx>
        <w:trPr>
          <w:tblCellSpacing w:w="7" w:type="dxa"/>
        </w:trPr>
        <w:tc>
          <w:tcPr>
            <w:tcW w:w="1021"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085201</w:t>
            </w:r>
          </w:p>
        </w:tc>
        <w:tc>
          <w:tcPr>
            <w:tcW w:w="2130"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机械工程</w:t>
            </w:r>
          </w:p>
        </w:tc>
        <w:tc>
          <w:tcPr>
            <w:tcW w:w="5278"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①101思想政治理论；②201英语一；③301数学一；④808电路与电子线路或821机械设计</w:t>
            </w:r>
          </w:p>
        </w:tc>
      </w:tr>
      <w:tr>
        <w:tblPrEx>
          <w:tblLayout w:type="fixed"/>
          <w:tblCellMar>
            <w:top w:w="0" w:type="dxa"/>
            <w:left w:w="0" w:type="dxa"/>
            <w:bottom w:w="0" w:type="dxa"/>
            <w:right w:w="0" w:type="dxa"/>
          </w:tblCellMar>
        </w:tblPrEx>
        <w:trPr>
          <w:tblCellSpacing w:w="7" w:type="dxa"/>
        </w:trPr>
        <w:tc>
          <w:tcPr>
            <w:tcW w:w="1021"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085202</w:t>
            </w:r>
          </w:p>
        </w:tc>
        <w:tc>
          <w:tcPr>
            <w:tcW w:w="2130"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光学工程</w:t>
            </w:r>
          </w:p>
        </w:tc>
        <w:tc>
          <w:tcPr>
            <w:tcW w:w="5278"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①101思想政治理论；②201英语一；③301数学一；④808电路与电子线路或814工程光学或821机械设计</w:t>
            </w:r>
          </w:p>
        </w:tc>
      </w:tr>
      <w:tr>
        <w:tblPrEx>
          <w:tblLayout w:type="fixed"/>
          <w:tblCellMar>
            <w:top w:w="0" w:type="dxa"/>
            <w:left w:w="0" w:type="dxa"/>
            <w:bottom w:w="0" w:type="dxa"/>
            <w:right w:w="0" w:type="dxa"/>
          </w:tblCellMar>
        </w:tblPrEx>
        <w:trPr>
          <w:tblCellSpacing w:w="7" w:type="dxa"/>
        </w:trPr>
        <w:tc>
          <w:tcPr>
            <w:tcW w:w="1021"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085230</w:t>
            </w:r>
          </w:p>
        </w:tc>
        <w:tc>
          <w:tcPr>
            <w:tcW w:w="2130"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生物医学工程</w:t>
            </w:r>
          </w:p>
        </w:tc>
        <w:tc>
          <w:tcPr>
            <w:tcW w:w="5278"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①101思想政治理论；②201英语一；③301数学一；④808电路与电子线路或843信号与系统</w:t>
            </w:r>
          </w:p>
        </w:tc>
      </w:tr>
      <w:tr>
        <w:tblPrEx>
          <w:tblLayout w:type="fixed"/>
          <w:tblCellMar>
            <w:top w:w="0" w:type="dxa"/>
            <w:left w:w="0" w:type="dxa"/>
            <w:bottom w:w="0" w:type="dxa"/>
            <w:right w:w="0" w:type="dxa"/>
          </w:tblCellMar>
        </w:tblPrEx>
        <w:trPr>
          <w:tblCellSpacing w:w="7" w:type="dxa"/>
        </w:trPr>
        <w:tc>
          <w:tcPr>
            <w:tcW w:w="1021"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085238</w:t>
            </w:r>
          </w:p>
        </w:tc>
        <w:tc>
          <w:tcPr>
            <w:tcW w:w="2130"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生物工程</w:t>
            </w:r>
          </w:p>
        </w:tc>
        <w:tc>
          <w:tcPr>
            <w:tcW w:w="5278"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①101思想政治理论；②201英语一；③302数学二或338生物化学；④841细胞生物学</w:t>
            </w:r>
          </w:p>
        </w:tc>
      </w:tr>
    </w:tbl>
    <w:p>
      <w:pPr>
        <w:pStyle w:val="2"/>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六、复试与录取</w:t>
      </w:r>
    </w:p>
    <w:p>
      <w:pPr>
        <w:pStyle w:val="3"/>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1、复试原则</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　　坚持公平、公正、公开和科学选拔的原则，对考生进行德、智、体全面衡量，择优选拔，按需招生，宁缺毋滥，确保招生质量。</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凡拟录取的考生均应经过复试。复试必须体现公平、公正、公开和科学选拔的原则，对考生的德、智、体进行全面衡量。</w:t>
      </w:r>
    </w:p>
    <w:p>
      <w:pPr>
        <w:pStyle w:val="3"/>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2、组织管理</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　　1）我所研究生招生工作领导小组全面负责硕士研究生招生复试和录取的各项工作。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2）至少5名研究生导师组成面试考核小组对考生进行面试。</w:t>
      </w:r>
    </w:p>
    <w:p>
      <w:pPr>
        <w:pStyle w:val="3"/>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3、复试内容</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　　复试包括综合素质能力考察、专业知识面试、英语水平测试三个部分组成。</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6"/>
          <w:rFonts w:hint="eastAsia" w:ascii="宋体" w:hAnsi="宋体" w:eastAsia="宋体" w:cs="宋体"/>
          <w:i w:val="0"/>
          <w:caps w:val="0"/>
          <w:color w:val="575757"/>
          <w:spacing w:val="0"/>
          <w:kern w:val="0"/>
          <w:sz w:val="18"/>
          <w:szCs w:val="18"/>
          <w:shd w:val="clear" w:fill="FFFFFF"/>
          <w:lang w:val="en-US" w:eastAsia="zh-CN" w:bidi="ar"/>
        </w:rPr>
        <w:t>　　1）综合素质能力测试（100分）</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复试时需提前准备以下材料。</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①政治审查材料，应届毕业生由考生所在学校院系学生办公室出具，非应届毕业生由档案所在单位人事部门出具。</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②考生个人简历。考生个人自述应包括：自述本人的专业学习情况、学术背景、曾经做过的研究工作、个人学术研究兴趣，以及攻读研究生阶段的学习计划、研究生毕业后的就业目标等。本学科（专业）以外的学习、科研、社会实践（学生工作、社团活动、志愿服务等）或实际工作表现等方面的情况。</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③本科毕业学校教务部门（或院系）出具并加盖公章的大学本科成绩单，往届考生需由单位人事部门加盖公章。</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④考生英语水平的成绩证明或证书。</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⑤考生在公开发行的学术刊物或全国性学术会议上发表的学术论文，所获专利、科研成果及其它原创性工作成果的证明材料原件或复印件。</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⑥考生的各种获奖证书。</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⑦其它有参考价值的材料。</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复试时要求考生对上述材料做3-5分钟左右PPT的陈述，复试专家组将根据考生的个人陈述评定综合素质能力的成绩。</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6"/>
          <w:rFonts w:hint="eastAsia" w:ascii="宋体" w:hAnsi="宋体" w:eastAsia="宋体" w:cs="宋体"/>
          <w:i w:val="0"/>
          <w:caps w:val="0"/>
          <w:color w:val="575757"/>
          <w:spacing w:val="0"/>
          <w:kern w:val="0"/>
          <w:sz w:val="18"/>
          <w:szCs w:val="18"/>
          <w:shd w:val="clear" w:fill="FFFFFF"/>
          <w:lang w:val="en-US" w:eastAsia="zh-CN" w:bidi="ar"/>
        </w:rPr>
        <w:t>　　2）专业知识面试（100分）</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主要考核考生掌握专业知识的深度、广度以及对知识灵活运用的程度；运用专业知识的能力；思维、逻辑能力；应变反应能力；表达能力；创新精神和创新能力；了解考生的研究兴趣；潜在科研能力等。</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6"/>
          <w:rFonts w:hint="eastAsia" w:ascii="宋体" w:hAnsi="宋体" w:eastAsia="宋体" w:cs="宋体"/>
          <w:i w:val="0"/>
          <w:caps w:val="0"/>
          <w:color w:val="575757"/>
          <w:spacing w:val="0"/>
          <w:kern w:val="0"/>
          <w:sz w:val="18"/>
          <w:szCs w:val="18"/>
          <w:shd w:val="clear" w:fill="FFFFFF"/>
          <w:lang w:val="en-US" w:eastAsia="zh-CN" w:bidi="ar"/>
        </w:rPr>
        <w:t>　　3）英语水平测试（100分）</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主要测试考生运用外语知识与读、听、说等技能进行交流的能力。以考生自述、翻译、英文对话方式进行。</w:t>
      </w:r>
    </w:p>
    <w:p>
      <w:pPr>
        <w:pStyle w:val="3"/>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4、体检</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　　1．所有参加复试的考生均须参加我所统一组织的身体健康检查。</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2.体检标准参照教育部、卫生部、中国残联制定的《普通高等学校招生体检工作指导意见》（教学[2003]3号）和教育部、卫生部制定的《关于普通高等学校招生学生入学身体检查取消乙肝项目检测有关问题的通知》（教学厅[2010]2号）实施。</w:t>
      </w:r>
    </w:p>
    <w:p>
      <w:pPr>
        <w:pStyle w:val="3"/>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5、录取</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　　1. 复试成绩采用百分制，60分及格，100分满分。复试分项成绩的划分：综合素质考核15%，业务能力面试50%，外语听力和口语测试35%。</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2. 最终成绩=（初试总成绩）÷5×权重（50%）+复试成绩×权重（50%）</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3. 所招生领导小组综合考生复试成绩、初试成绩、大学期间学习和科研成绩、工作业绩等，最终确定录取名单。严格按最终成绩排名择优录取。为保证招生质量，报批人数可小于招生计划。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4. 复试成绩不合格、资格审查不合格、体检不合格者不予录取。</w:t>
      </w:r>
    </w:p>
    <w:p>
      <w:pPr>
        <w:pStyle w:val="3"/>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6、其他</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　　本复试办法如有与上级有关部门、国家有关法规政策相抵触，以上级有关部门、国家法规政策为准。</w:t>
      </w:r>
    </w:p>
    <w:p>
      <w:pPr>
        <w:pStyle w:val="2"/>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七、调剂</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　　苏州医工所各专业在生源不足的情况下接受调剂。调剂信息将于复试阶段在中国科大研究生招生在线网站（http://yz.ustc.edu.cn）发布。</w:t>
      </w:r>
    </w:p>
    <w:p>
      <w:pPr>
        <w:pStyle w:val="2"/>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八、学费标准</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　　8000元/学年。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F1168"/>
    <w:rsid w:val="312F11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2016-11-11T08:12:00Z</dcterms:created>
  <dc:creator>RS02</dc:creator>
  <cp:lastModifiedBy>RS02</cp:lastModifiedBy>
  <dcterms:modified xsi:type="dcterms:W3CDTF">2016-11-11T08:13:00Z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